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1"/>
          <w:szCs w:val="21"/>
        </w:rPr>
      </w:pPr>
      <w:r>
        <w:rPr>
          <w:rFonts w:ascii="Times New Roman" w:hAnsi="Times New Roman" w:eastAsia="黑体" w:cs="Times New Roman"/>
          <w:sz w:val="21"/>
          <w:szCs w:val="21"/>
        </w:rPr>
        <w:t>附件</w:t>
      </w:r>
    </w:p>
    <w:p>
      <w:pPr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江苏省高校省级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</w:t>
      </w:r>
      <w:r>
        <w:rPr>
          <w:rFonts w:ascii="Times New Roman" w:hAnsi="Times New Roman" w:eastAsia="方正小标宋简体" w:cs="Times New Roman"/>
          <w:sz w:val="36"/>
          <w:szCs w:val="36"/>
        </w:rPr>
        <w:t>“优秀毕业生”推荐表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校选专用表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）</w:t>
      </w:r>
    </w:p>
    <w:p>
      <w:pPr>
        <w:spacing w:line="240" w:lineRule="exact"/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13"/>
        <w:gridCol w:w="1678"/>
        <w:gridCol w:w="128"/>
        <w:gridCol w:w="308"/>
        <w:gridCol w:w="1025"/>
        <w:gridCol w:w="187"/>
        <w:gridCol w:w="1261"/>
        <w:gridCol w:w="384"/>
        <w:gridCol w:w="947"/>
        <w:gridCol w:w="127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26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37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学院、班级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及所任职务</w:t>
            </w:r>
          </w:p>
        </w:tc>
        <w:tc>
          <w:tcPr>
            <w:tcW w:w="537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  <w:jc w:val="center"/>
        </w:trPr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</w:tc>
        <w:tc>
          <w:tcPr>
            <w:tcW w:w="8399" w:type="dxa"/>
            <w:gridSpan w:val="11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综合测评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总分/班级名次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最高纪录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最低表现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毕业设计论文分数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获三等（含）以上综合测评优秀奖次数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其他突出表现</w:t>
            </w:r>
          </w:p>
        </w:tc>
        <w:tc>
          <w:tcPr>
            <w:tcW w:w="580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399" w:type="dxa"/>
            <w:gridSpan w:val="11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399" w:type="dxa"/>
            <w:gridSpan w:val="11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7082215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9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817FC"/>
    <w:rsid w:val="244817FC"/>
    <w:rsid w:val="3FAC6839"/>
    <w:rsid w:val="5A8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2021-05-08T06:51:00Z</dcterms:created>
  <dc:creator>爱吃炸鸡的南瓜</dc:creator>
  <cp:lastModifiedBy>卢情恩</cp:lastModifiedBy>
  <dcterms:modified xsi:type="dcterms:W3CDTF">2021-05-08T07:19:26Z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3F16EAED375246E7977248F71C4785BC</vt:lpwstr>
  </property>
</Properties>
</file>