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C7" w:rsidRDefault="00D94582">
      <w:pPr>
        <w:pStyle w:val="a3"/>
        <w:shd w:val="clear" w:color="auto" w:fill="FFFFFF"/>
        <w:spacing w:before="300" w:beforeAutospacing="0" w:after="300" w:afterAutospacing="0" w:line="510" w:lineRule="atLeast"/>
        <w:jc w:val="center"/>
        <w:rPr>
          <w:rFonts w:ascii="方正仿宋_GBK" w:hAnsi="Helvetica" w:cs="Helvetica"/>
          <w:color w:val="333333"/>
          <w:sz w:val="32"/>
          <w:szCs w:val="32"/>
        </w:rPr>
      </w:pPr>
      <w:r>
        <w:rPr>
          <w:rFonts w:ascii="方正仿宋_GBK" w:eastAsia="方正仿宋_GBK" w:hAnsi="Helvetica" w:cs="Helvetica" w:hint="eastAsia"/>
          <w:color w:val="333333"/>
          <w:sz w:val="32"/>
          <w:szCs w:val="32"/>
        </w:rPr>
        <w:t>居民</w:t>
      </w:r>
      <w:proofErr w:type="gramStart"/>
      <w:r>
        <w:rPr>
          <w:rFonts w:ascii="方正仿宋_GBK" w:eastAsia="方正仿宋_GBK" w:hAnsi="Helvetica" w:cs="Helvetica" w:hint="eastAsia"/>
          <w:color w:val="333333"/>
          <w:sz w:val="32"/>
          <w:szCs w:val="32"/>
        </w:rPr>
        <w:t>医</w:t>
      </w:r>
      <w:proofErr w:type="gramEnd"/>
      <w:r>
        <w:rPr>
          <w:rFonts w:ascii="方正仿宋_GBK" w:eastAsia="方正仿宋_GBK" w:hAnsi="Helvetica" w:cs="Helvetica" w:hint="eastAsia"/>
          <w:color w:val="333333"/>
          <w:sz w:val="32"/>
          <w:szCs w:val="32"/>
        </w:rPr>
        <w:t>保服务（待遇篇）</w:t>
      </w:r>
    </w:p>
    <w:p w:rsidR="00DC48C7" w:rsidRDefault="00D94582">
      <w:pPr>
        <w:ind w:firstLineChars="200" w:firstLine="480"/>
        <w:rPr>
          <w:rFonts w:ascii="宋体" w:hAnsi="宋体"/>
          <w:sz w:val="24"/>
          <w:szCs w:val="24"/>
        </w:rPr>
      </w:pPr>
      <w:r>
        <w:rPr>
          <w:rFonts w:ascii="宋体" w:hAnsi="宋体" w:hint="eastAsia"/>
          <w:sz w:val="24"/>
          <w:szCs w:val="24"/>
        </w:rPr>
        <w:t>参保居民在一个结算年度内</w:t>
      </w:r>
      <w:r>
        <w:rPr>
          <w:rFonts w:ascii="宋体" w:hAnsi="宋体"/>
          <w:sz w:val="24"/>
          <w:szCs w:val="24"/>
        </w:rPr>
        <w:t>，</w:t>
      </w:r>
      <w:r>
        <w:rPr>
          <w:rFonts w:ascii="宋体" w:hAnsi="宋体" w:hint="eastAsia"/>
          <w:sz w:val="24"/>
          <w:szCs w:val="24"/>
        </w:rPr>
        <w:t>按规定</w:t>
      </w:r>
      <w:r>
        <w:rPr>
          <w:rFonts w:ascii="宋体" w:hAnsi="宋体"/>
          <w:sz w:val="24"/>
          <w:szCs w:val="24"/>
        </w:rPr>
        <w:t>享受普通门诊统筹、特殊病门诊统筹、住院医疗统筹、大病保险、特药待遇、城乡医疗救助等待遇。主要待遇如下：</w:t>
      </w:r>
    </w:p>
    <w:p w:rsidR="00DC48C7" w:rsidRDefault="00DC48C7">
      <w:pPr>
        <w:ind w:firstLineChars="200" w:firstLine="480"/>
        <w:rPr>
          <w:rFonts w:ascii="宋体" w:hAnsi="宋体"/>
          <w:sz w:val="24"/>
          <w:szCs w:val="24"/>
        </w:rPr>
      </w:pPr>
    </w:p>
    <w:p w:rsidR="00DC48C7" w:rsidRDefault="00D94582">
      <w:pPr>
        <w:ind w:firstLineChars="200" w:firstLine="482"/>
        <w:rPr>
          <w:rFonts w:ascii="宋体" w:hAnsi="宋体"/>
          <w:sz w:val="24"/>
          <w:szCs w:val="24"/>
        </w:rPr>
      </w:pPr>
      <w:r>
        <w:rPr>
          <w:rFonts w:ascii="宋体" w:hAnsi="宋体" w:hint="eastAsia"/>
          <w:b/>
          <w:sz w:val="24"/>
          <w:szCs w:val="24"/>
        </w:rPr>
        <w:t>1.</w:t>
      </w:r>
      <w:r>
        <w:rPr>
          <w:rFonts w:ascii="宋体" w:hAnsi="宋体" w:hint="eastAsia"/>
          <w:b/>
          <w:sz w:val="24"/>
          <w:szCs w:val="24"/>
        </w:rPr>
        <w:t>门</w:t>
      </w:r>
      <w:r>
        <w:rPr>
          <w:rFonts w:ascii="宋体" w:hAnsi="宋体"/>
          <w:b/>
          <w:sz w:val="24"/>
          <w:szCs w:val="24"/>
        </w:rPr>
        <w:t>诊待遇（</w:t>
      </w:r>
      <w:r>
        <w:rPr>
          <w:rFonts w:ascii="宋体" w:hAnsi="宋体" w:hint="eastAsia"/>
          <w:b/>
          <w:sz w:val="24"/>
          <w:szCs w:val="24"/>
        </w:rPr>
        <w:t>一</w:t>
      </w:r>
      <w:r>
        <w:rPr>
          <w:rFonts w:ascii="宋体" w:hAnsi="宋体"/>
          <w:b/>
          <w:sz w:val="24"/>
          <w:szCs w:val="24"/>
        </w:rPr>
        <w:t>个结算年度内）</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96"/>
        <w:gridCol w:w="1355"/>
        <w:gridCol w:w="1276"/>
        <w:gridCol w:w="2347"/>
      </w:tblGrid>
      <w:tr w:rsidR="00DC48C7">
        <w:tc>
          <w:tcPr>
            <w:tcW w:w="8296" w:type="dxa"/>
            <w:gridSpan w:val="5"/>
            <w:vAlign w:val="center"/>
          </w:tcPr>
          <w:p w:rsidR="00DC48C7" w:rsidRDefault="00D94582">
            <w:pPr>
              <w:jc w:val="center"/>
            </w:pPr>
            <w:r>
              <w:rPr>
                <w:rFonts w:hint="eastAsia"/>
              </w:rPr>
              <w:t>门诊统筹医疗费用</w:t>
            </w:r>
          </w:p>
        </w:tc>
      </w:tr>
      <w:tr w:rsidR="00DC48C7">
        <w:trPr>
          <w:trHeight w:val="454"/>
        </w:trPr>
        <w:tc>
          <w:tcPr>
            <w:tcW w:w="5949" w:type="dxa"/>
            <w:gridSpan w:val="4"/>
            <w:vMerge w:val="restart"/>
            <w:vAlign w:val="center"/>
          </w:tcPr>
          <w:p w:rsidR="00DC48C7" w:rsidRDefault="00D94582">
            <w:pPr>
              <w:ind w:firstLineChars="200" w:firstLine="420"/>
            </w:pPr>
            <w:r>
              <w:rPr>
                <w:rFonts w:hint="eastAsia"/>
              </w:rPr>
              <w:t>在签约的定点社区卫生服务机构门诊刷卡就医时，年度内发生符合规定的普通门、急诊医疗费可享受</w:t>
            </w:r>
            <w:r>
              <w:rPr>
                <w:rFonts w:hint="eastAsia"/>
              </w:rPr>
              <w:t>8</w:t>
            </w:r>
            <w:r>
              <w:t>00</w:t>
            </w:r>
            <w:r>
              <w:rPr>
                <w:rFonts w:hint="eastAsia"/>
              </w:rPr>
              <w:t>元以内的门诊统筹待遇</w:t>
            </w:r>
            <w:proofErr w:type="gramStart"/>
            <w:r>
              <w:rPr>
                <w:rFonts w:hint="eastAsia"/>
              </w:rPr>
              <w:t>医</w:t>
            </w:r>
            <w:proofErr w:type="gramEnd"/>
            <w:r>
              <w:rPr>
                <w:rFonts w:hint="eastAsia"/>
              </w:rPr>
              <w:t>保基金按比例支付。</w:t>
            </w:r>
          </w:p>
        </w:tc>
        <w:tc>
          <w:tcPr>
            <w:tcW w:w="2347" w:type="dxa"/>
            <w:vAlign w:val="center"/>
          </w:tcPr>
          <w:p w:rsidR="00DC48C7" w:rsidRDefault="00D94582">
            <w:pPr>
              <w:jc w:val="center"/>
            </w:pPr>
            <w:r>
              <w:rPr>
                <w:rFonts w:hint="eastAsia"/>
              </w:rPr>
              <w:t>报支比例</w:t>
            </w:r>
          </w:p>
        </w:tc>
      </w:tr>
      <w:tr w:rsidR="00DC48C7">
        <w:tc>
          <w:tcPr>
            <w:tcW w:w="5949" w:type="dxa"/>
            <w:gridSpan w:val="4"/>
            <w:vMerge/>
            <w:vAlign w:val="center"/>
          </w:tcPr>
          <w:p w:rsidR="00DC48C7" w:rsidRDefault="00DC48C7">
            <w:pPr>
              <w:jc w:val="center"/>
            </w:pPr>
          </w:p>
        </w:tc>
        <w:tc>
          <w:tcPr>
            <w:tcW w:w="2347" w:type="dxa"/>
            <w:vAlign w:val="center"/>
          </w:tcPr>
          <w:p w:rsidR="00DC48C7" w:rsidRDefault="00D94582">
            <w:pPr>
              <w:jc w:val="center"/>
            </w:pPr>
            <w:r>
              <w:rPr>
                <w:rFonts w:hint="eastAsia"/>
              </w:rPr>
              <w:t>5</w:t>
            </w:r>
            <w:r>
              <w:t>0%</w:t>
            </w:r>
          </w:p>
        </w:tc>
      </w:tr>
      <w:tr w:rsidR="00DC48C7">
        <w:tc>
          <w:tcPr>
            <w:tcW w:w="8296" w:type="dxa"/>
            <w:gridSpan w:val="5"/>
            <w:vAlign w:val="center"/>
          </w:tcPr>
          <w:p w:rsidR="00DC48C7" w:rsidRDefault="00D94582">
            <w:pPr>
              <w:jc w:val="center"/>
            </w:pPr>
            <w:r>
              <w:rPr>
                <w:rFonts w:hint="eastAsia"/>
              </w:rPr>
              <w:t>两病门诊医疗费用</w:t>
            </w:r>
          </w:p>
        </w:tc>
      </w:tr>
      <w:tr w:rsidR="00DC48C7">
        <w:tc>
          <w:tcPr>
            <w:tcW w:w="5949" w:type="dxa"/>
            <w:gridSpan w:val="4"/>
            <w:vMerge w:val="restart"/>
            <w:vAlign w:val="center"/>
          </w:tcPr>
          <w:p w:rsidR="00DC48C7" w:rsidRDefault="00D94582">
            <w:pPr>
              <w:ind w:firstLineChars="200" w:firstLine="420"/>
            </w:pPr>
            <w:r>
              <w:rPr>
                <w:rFonts w:hint="eastAsia"/>
              </w:rPr>
              <w:t>“两病”是指经二级及以上定点医院诊断备案后，享受居民</w:t>
            </w:r>
            <w:proofErr w:type="gramStart"/>
            <w:r>
              <w:rPr>
                <w:rFonts w:hint="eastAsia"/>
              </w:rPr>
              <w:t>医</w:t>
            </w:r>
            <w:proofErr w:type="gramEnd"/>
            <w:r>
              <w:rPr>
                <w:rFonts w:hint="eastAsia"/>
              </w:rPr>
              <w:t>保高血压、糖尿病门诊</w:t>
            </w:r>
            <w:proofErr w:type="gramStart"/>
            <w:r>
              <w:rPr>
                <w:rFonts w:hint="eastAsia"/>
              </w:rPr>
              <w:t>用药保障</w:t>
            </w:r>
            <w:proofErr w:type="gramEnd"/>
            <w:r>
              <w:rPr>
                <w:rFonts w:hint="eastAsia"/>
              </w:rPr>
              <w:t>待遇。</w:t>
            </w:r>
          </w:p>
          <w:p w:rsidR="00DC48C7" w:rsidRDefault="00D94582">
            <w:pPr>
              <w:ind w:firstLineChars="200" w:firstLine="420"/>
            </w:pPr>
            <w:r>
              <w:rPr>
                <w:rFonts w:hint="eastAsia"/>
              </w:rPr>
              <w:t>在规定的定点医疗机构发生的符合医疗保险规定的专项门诊用药费用，按照单个病种</w:t>
            </w:r>
            <w:r>
              <w:rPr>
                <w:rFonts w:hint="eastAsia"/>
              </w:rPr>
              <w:t>1600</w:t>
            </w:r>
            <w:r>
              <w:rPr>
                <w:rFonts w:hint="eastAsia"/>
              </w:rPr>
              <w:t>元</w:t>
            </w:r>
            <w:r>
              <w:rPr>
                <w:rFonts w:hint="eastAsia"/>
              </w:rPr>
              <w:t>/</w:t>
            </w:r>
            <w:r>
              <w:rPr>
                <w:rFonts w:hint="eastAsia"/>
              </w:rPr>
              <w:t>年</w:t>
            </w:r>
            <w:r>
              <w:rPr>
                <w:rFonts w:ascii="宋体" w:hAnsi="宋体" w:hint="eastAsia"/>
                <w:b/>
              </w:rPr>
              <w:t>·</w:t>
            </w:r>
            <w:r>
              <w:rPr>
                <w:rFonts w:hint="eastAsia"/>
              </w:rPr>
              <w:t>人，两个病种</w:t>
            </w:r>
            <w:r>
              <w:rPr>
                <w:rFonts w:hint="eastAsia"/>
              </w:rPr>
              <w:t>2000</w:t>
            </w:r>
            <w:r>
              <w:rPr>
                <w:rFonts w:hint="eastAsia"/>
              </w:rPr>
              <w:t>元</w:t>
            </w:r>
            <w:r>
              <w:rPr>
                <w:rFonts w:hint="eastAsia"/>
              </w:rPr>
              <w:t>/</w:t>
            </w:r>
            <w:r>
              <w:rPr>
                <w:rFonts w:hint="eastAsia"/>
              </w:rPr>
              <w:t>年</w:t>
            </w:r>
            <w:r>
              <w:rPr>
                <w:rFonts w:hint="eastAsia"/>
                <w:b/>
              </w:rPr>
              <w:t>·</w:t>
            </w:r>
            <w:r>
              <w:rPr>
                <w:rFonts w:hint="eastAsia"/>
              </w:rPr>
              <w:t>人的限额，由居民</w:t>
            </w:r>
            <w:proofErr w:type="gramStart"/>
            <w:r>
              <w:rPr>
                <w:rFonts w:hint="eastAsia"/>
              </w:rPr>
              <w:t>医</w:t>
            </w:r>
            <w:proofErr w:type="gramEnd"/>
            <w:r>
              <w:rPr>
                <w:rFonts w:hint="eastAsia"/>
              </w:rPr>
              <w:t>保基金按比例结付。</w:t>
            </w:r>
          </w:p>
          <w:p w:rsidR="00DC48C7" w:rsidRDefault="00D94582">
            <w:pPr>
              <w:ind w:firstLineChars="200" w:firstLine="420"/>
            </w:pPr>
            <w:r>
              <w:rPr>
                <w:rFonts w:hint="eastAsia"/>
              </w:rPr>
              <w:t>与门诊统筹医疗费用待遇不重复享受。</w:t>
            </w:r>
          </w:p>
        </w:tc>
        <w:tc>
          <w:tcPr>
            <w:tcW w:w="2347" w:type="dxa"/>
            <w:vAlign w:val="center"/>
          </w:tcPr>
          <w:p w:rsidR="00DC48C7" w:rsidRDefault="00D94582">
            <w:pPr>
              <w:jc w:val="center"/>
            </w:pPr>
            <w:r>
              <w:rPr>
                <w:rFonts w:hint="eastAsia"/>
              </w:rPr>
              <w:t>报支</w:t>
            </w:r>
            <w:proofErr w:type="gramStart"/>
            <w:r>
              <w:rPr>
                <w:rFonts w:hint="eastAsia"/>
              </w:rPr>
              <w:t>比列</w:t>
            </w:r>
            <w:proofErr w:type="gramEnd"/>
          </w:p>
        </w:tc>
      </w:tr>
      <w:tr w:rsidR="00DC48C7">
        <w:tc>
          <w:tcPr>
            <w:tcW w:w="5949" w:type="dxa"/>
            <w:gridSpan w:val="4"/>
            <w:vMerge/>
            <w:vAlign w:val="center"/>
          </w:tcPr>
          <w:p w:rsidR="00DC48C7" w:rsidRDefault="00DC48C7">
            <w:pPr>
              <w:jc w:val="center"/>
            </w:pPr>
          </w:p>
        </w:tc>
        <w:tc>
          <w:tcPr>
            <w:tcW w:w="2347" w:type="dxa"/>
            <w:vAlign w:val="center"/>
          </w:tcPr>
          <w:p w:rsidR="00DC48C7" w:rsidRDefault="00D94582">
            <w:pPr>
              <w:jc w:val="center"/>
            </w:pPr>
            <w:r>
              <w:rPr>
                <w:rFonts w:hint="eastAsia"/>
              </w:rPr>
              <w:t>50%</w:t>
            </w:r>
          </w:p>
        </w:tc>
      </w:tr>
      <w:tr w:rsidR="00DC48C7">
        <w:tc>
          <w:tcPr>
            <w:tcW w:w="8296" w:type="dxa"/>
            <w:gridSpan w:val="5"/>
            <w:vAlign w:val="center"/>
          </w:tcPr>
          <w:p w:rsidR="00DC48C7" w:rsidRDefault="00D94582">
            <w:pPr>
              <w:jc w:val="center"/>
            </w:pPr>
            <w:r>
              <w:rPr>
                <w:rFonts w:hint="eastAsia"/>
              </w:rPr>
              <w:t>特殊病门诊医疗费用</w:t>
            </w:r>
          </w:p>
        </w:tc>
      </w:tr>
      <w:tr w:rsidR="00DC48C7">
        <w:tc>
          <w:tcPr>
            <w:tcW w:w="2122" w:type="dxa"/>
            <w:vMerge w:val="restart"/>
            <w:vAlign w:val="center"/>
          </w:tcPr>
          <w:p w:rsidR="00DC48C7" w:rsidRDefault="00D94582">
            <w:pPr>
              <w:jc w:val="center"/>
            </w:pPr>
            <w:r>
              <w:rPr>
                <w:rFonts w:hint="eastAsia"/>
              </w:rPr>
              <w:t>病程</w:t>
            </w:r>
          </w:p>
        </w:tc>
        <w:tc>
          <w:tcPr>
            <w:tcW w:w="2551" w:type="dxa"/>
            <w:gridSpan w:val="2"/>
            <w:vAlign w:val="center"/>
          </w:tcPr>
          <w:p w:rsidR="00DC48C7" w:rsidRDefault="00D94582">
            <w:pPr>
              <w:jc w:val="center"/>
            </w:pPr>
            <w:r>
              <w:rPr>
                <w:rFonts w:hint="eastAsia"/>
              </w:rPr>
              <w:t>待遇比例</w:t>
            </w:r>
          </w:p>
        </w:tc>
        <w:tc>
          <w:tcPr>
            <w:tcW w:w="1276" w:type="dxa"/>
            <w:vMerge w:val="restart"/>
            <w:vAlign w:val="center"/>
          </w:tcPr>
          <w:p w:rsidR="00DC48C7" w:rsidRDefault="00D94582">
            <w:pPr>
              <w:jc w:val="center"/>
            </w:pPr>
            <w:r>
              <w:rPr>
                <w:rFonts w:hint="eastAsia"/>
              </w:rPr>
              <w:t>年限额</w:t>
            </w:r>
          </w:p>
          <w:p w:rsidR="00DC48C7" w:rsidRDefault="00D94582">
            <w:pPr>
              <w:jc w:val="center"/>
            </w:pPr>
            <w:r>
              <w:rPr>
                <w:rFonts w:hint="eastAsia"/>
              </w:rPr>
              <w:t>（元）</w:t>
            </w:r>
          </w:p>
        </w:tc>
        <w:tc>
          <w:tcPr>
            <w:tcW w:w="2347" w:type="dxa"/>
            <w:vMerge w:val="restart"/>
            <w:vAlign w:val="center"/>
          </w:tcPr>
          <w:p w:rsidR="00DC48C7" w:rsidRDefault="00D94582">
            <w:pPr>
              <w:jc w:val="center"/>
            </w:pPr>
            <w:r>
              <w:rPr>
                <w:rFonts w:hint="eastAsia"/>
              </w:rPr>
              <w:t>备注</w:t>
            </w:r>
          </w:p>
        </w:tc>
      </w:tr>
      <w:tr w:rsidR="00DC48C7">
        <w:trPr>
          <w:cantSplit/>
          <w:trHeight w:val="1134"/>
        </w:trPr>
        <w:tc>
          <w:tcPr>
            <w:tcW w:w="2122" w:type="dxa"/>
            <w:vMerge/>
            <w:vAlign w:val="center"/>
          </w:tcPr>
          <w:p w:rsidR="00DC48C7" w:rsidRDefault="00DC48C7">
            <w:pPr>
              <w:jc w:val="center"/>
            </w:pPr>
          </w:p>
        </w:tc>
        <w:tc>
          <w:tcPr>
            <w:tcW w:w="1196" w:type="dxa"/>
            <w:vAlign w:val="center"/>
          </w:tcPr>
          <w:p w:rsidR="00DC48C7" w:rsidRDefault="00D94582">
            <w:pPr>
              <w:jc w:val="center"/>
            </w:pPr>
            <w:r>
              <w:rPr>
                <w:rFonts w:hint="eastAsia"/>
              </w:rPr>
              <w:t>成年居民</w:t>
            </w:r>
          </w:p>
          <w:p w:rsidR="00DC48C7" w:rsidRDefault="00D94582">
            <w:pPr>
              <w:jc w:val="center"/>
            </w:pPr>
            <w:r>
              <w:rPr>
                <w:rFonts w:hint="eastAsia"/>
              </w:rPr>
              <w:t>老年居民</w:t>
            </w:r>
          </w:p>
        </w:tc>
        <w:tc>
          <w:tcPr>
            <w:tcW w:w="1355" w:type="dxa"/>
            <w:vAlign w:val="center"/>
          </w:tcPr>
          <w:p w:rsidR="00DC48C7" w:rsidRDefault="00D94582">
            <w:pPr>
              <w:jc w:val="center"/>
            </w:pPr>
            <w:r>
              <w:rPr>
                <w:rFonts w:hint="eastAsia"/>
              </w:rPr>
              <w:t>学生</w:t>
            </w:r>
          </w:p>
          <w:p w:rsidR="00DC48C7" w:rsidRDefault="00D94582">
            <w:pPr>
              <w:jc w:val="center"/>
            </w:pPr>
            <w:r>
              <w:rPr>
                <w:rFonts w:hint="eastAsia"/>
              </w:rPr>
              <w:t>未成年人</w:t>
            </w:r>
          </w:p>
        </w:tc>
        <w:tc>
          <w:tcPr>
            <w:tcW w:w="1276" w:type="dxa"/>
            <w:vMerge/>
            <w:vAlign w:val="center"/>
          </w:tcPr>
          <w:p w:rsidR="00DC48C7" w:rsidRDefault="00DC48C7">
            <w:pPr>
              <w:jc w:val="center"/>
            </w:pPr>
          </w:p>
        </w:tc>
        <w:tc>
          <w:tcPr>
            <w:tcW w:w="2347" w:type="dxa"/>
            <w:vMerge/>
            <w:vAlign w:val="center"/>
          </w:tcPr>
          <w:p w:rsidR="00DC48C7" w:rsidRDefault="00DC48C7">
            <w:pPr>
              <w:jc w:val="center"/>
            </w:pPr>
          </w:p>
        </w:tc>
      </w:tr>
      <w:tr w:rsidR="00DC48C7">
        <w:tc>
          <w:tcPr>
            <w:tcW w:w="2122" w:type="dxa"/>
            <w:vAlign w:val="center"/>
          </w:tcPr>
          <w:p w:rsidR="00DC48C7" w:rsidRDefault="00D94582">
            <w:pPr>
              <w:jc w:val="center"/>
            </w:pPr>
            <w:r>
              <w:rPr>
                <w:rFonts w:hint="eastAsia"/>
              </w:rPr>
              <w:t>长期精神病</w:t>
            </w:r>
          </w:p>
        </w:tc>
        <w:tc>
          <w:tcPr>
            <w:tcW w:w="1196" w:type="dxa"/>
            <w:vMerge w:val="restart"/>
            <w:vAlign w:val="center"/>
          </w:tcPr>
          <w:p w:rsidR="00DC48C7" w:rsidRDefault="00D94582">
            <w:pPr>
              <w:jc w:val="center"/>
            </w:pPr>
            <w:r>
              <w:rPr>
                <w:rFonts w:hint="eastAsia"/>
              </w:rPr>
              <w:t>6</w:t>
            </w:r>
            <w:r>
              <w:t>0%</w:t>
            </w:r>
          </w:p>
        </w:tc>
        <w:tc>
          <w:tcPr>
            <w:tcW w:w="1355" w:type="dxa"/>
            <w:vMerge w:val="restart"/>
            <w:vAlign w:val="center"/>
          </w:tcPr>
          <w:p w:rsidR="00DC48C7" w:rsidRDefault="00D94582">
            <w:pPr>
              <w:jc w:val="center"/>
            </w:pPr>
            <w:r>
              <w:rPr>
                <w:rFonts w:hint="eastAsia"/>
              </w:rPr>
              <w:t>7</w:t>
            </w:r>
            <w:r>
              <w:t>0%</w:t>
            </w:r>
          </w:p>
        </w:tc>
        <w:tc>
          <w:tcPr>
            <w:tcW w:w="1276" w:type="dxa"/>
            <w:vAlign w:val="center"/>
          </w:tcPr>
          <w:p w:rsidR="00DC48C7" w:rsidRDefault="00D94582">
            <w:pPr>
              <w:jc w:val="center"/>
            </w:pPr>
            <w:r>
              <w:rPr>
                <w:rFonts w:hint="eastAsia"/>
              </w:rPr>
              <w:t>2</w:t>
            </w:r>
            <w:r>
              <w:t>400</w:t>
            </w:r>
          </w:p>
        </w:tc>
        <w:tc>
          <w:tcPr>
            <w:tcW w:w="2347" w:type="dxa"/>
            <w:vAlign w:val="center"/>
          </w:tcPr>
          <w:p w:rsidR="00DC48C7" w:rsidRDefault="00DC48C7">
            <w:pPr>
              <w:jc w:val="center"/>
            </w:pPr>
          </w:p>
        </w:tc>
      </w:tr>
      <w:tr w:rsidR="00DC48C7">
        <w:tc>
          <w:tcPr>
            <w:tcW w:w="2122" w:type="dxa"/>
            <w:vAlign w:val="center"/>
          </w:tcPr>
          <w:p w:rsidR="00DC48C7" w:rsidRDefault="00D94582">
            <w:pPr>
              <w:jc w:val="center"/>
            </w:pPr>
            <w:r>
              <w:rPr>
                <w:rFonts w:hint="eastAsia"/>
              </w:rPr>
              <w:t>系统性红斑狼疮</w:t>
            </w:r>
          </w:p>
        </w:tc>
        <w:tc>
          <w:tcPr>
            <w:tcW w:w="1196" w:type="dxa"/>
            <w:vMerge/>
            <w:vAlign w:val="center"/>
          </w:tcPr>
          <w:p w:rsidR="00DC48C7" w:rsidRDefault="00DC48C7">
            <w:pPr>
              <w:jc w:val="center"/>
            </w:pPr>
          </w:p>
        </w:tc>
        <w:tc>
          <w:tcPr>
            <w:tcW w:w="1355" w:type="dxa"/>
            <w:vMerge/>
            <w:vAlign w:val="center"/>
          </w:tcPr>
          <w:p w:rsidR="00DC48C7" w:rsidRDefault="00DC48C7">
            <w:pPr>
              <w:jc w:val="center"/>
            </w:pPr>
          </w:p>
        </w:tc>
        <w:tc>
          <w:tcPr>
            <w:tcW w:w="1276" w:type="dxa"/>
            <w:vAlign w:val="center"/>
          </w:tcPr>
          <w:p w:rsidR="00DC48C7" w:rsidRDefault="00D94582">
            <w:pPr>
              <w:jc w:val="center"/>
            </w:pPr>
            <w:r>
              <w:rPr>
                <w:rFonts w:hint="eastAsia"/>
              </w:rPr>
              <w:t>4</w:t>
            </w:r>
            <w:r>
              <w:t>000</w:t>
            </w:r>
          </w:p>
        </w:tc>
        <w:tc>
          <w:tcPr>
            <w:tcW w:w="2347" w:type="dxa"/>
            <w:vAlign w:val="center"/>
          </w:tcPr>
          <w:p w:rsidR="00DC48C7" w:rsidRDefault="00DC48C7">
            <w:pPr>
              <w:jc w:val="center"/>
            </w:pPr>
          </w:p>
        </w:tc>
      </w:tr>
      <w:tr w:rsidR="00DC48C7">
        <w:tc>
          <w:tcPr>
            <w:tcW w:w="2122" w:type="dxa"/>
            <w:vAlign w:val="center"/>
          </w:tcPr>
          <w:p w:rsidR="00DC48C7" w:rsidRDefault="00D94582">
            <w:pPr>
              <w:jc w:val="center"/>
            </w:pPr>
            <w:r>
              <w:rPr>
                <w:rFonts w:hint="eastAsia"/>
              </w:rPr>
              <w:t>再生障碍性贫血</w:t>
            </w:r>
          </w:p>
        </w:tc>
        <w:tc>
          <w:tcPr>
            <w:tcW w:w="1196" w:type="dxa"/>
            <w:vMerge/>
            <w:vAlign w:val="center"/>
          </w:tcPr>
          <w:p w:rsidR="00DC48C7" w:rsidRDefault="00DC48C7">
            <w:pPr>
              <w:jc w:val="center"/>
            </w:pPr>
          </w:p>
        </w:tc>
        <w:tc>
          <w:tcPr>
            <w:tcW w:w="1355" w:type="dxa"/>
            <w:vMerge/>
            <w:vAlign w:val="center"/>
          </w:tcPr>
          <w:p w:rsidR="00DC48C7" w:rsidRDefault="00DC48C7">
            <w:pPr>
              <w:jc w:val="center"/>
            </w:pPr>
          </w:p>
        </w:tc>
        <w:tc>
          <w:tcPr>
            <w:tcW w:w="1276" w:type="dxa"/>
            <w:vAlign w:val="center"/>
          </w:tcPr>
          <w:p w:rsidR="00DC48C7" w:rsidRDefault="00D94582">
            <w:pPr>
              <w:jc w:val="center"/>
            </w:pPr>
            <w:r>
              <w:rPr>
                <w:rFonts w:hint="eastAsia"/>
              </w:rPr>
              <w:t>1</w:t>
            </w:r>
            <w:r>
              <w:t>0000</w:t>
            </w:r>
          </w:p>
        </w:tc>
        <w:tc>
          <w:tcPr>
            <w:tcW w:w="2347" w:type="dxa"/>
            <w:vAlign w:val="center"/>
          </w:tcPr>
          <w:p w:rsidR="00DC48C7" w:rsidRDefault="00DC48C7">
            <w:pPr>
              <w:jc w:val="center"/>
            </w:pPr>
          </w:p>
        </w:tc>
      </w:tr>
      <w:tr w:rsidR="00DC48C7">
        <w:tc>
          <w:tcPr>
            <w:tcW w:w="2122" w:type="dxa"/>
            <w:vAlign w:val="center"/>
          </w:tcPr>
          <w:p w:rsidR="00DC48C7" w:rsidRDefault="00D94582">
            <w:pPr>
              <w:jc w:val="center"/>
            </w:pPr>
            <w:r>
              <w:rPr>
                <w:rFonts w:hint="eastAsia"/>
              </w:rPr>
              <w:t>血友病</w:t>
            </w:r>
          </w:p>
        </w:tc>
        <w:tc>
          <w:tcPr>
            <w:tcW w:w="1196" w:type="dxa"/>
            <w:vMerge/>
            <w:vAlign w:val="center"/>
          </w:tcPr>
          <w:p w:rsidR="00DC48C7" w:rsidRDefault="00DC48C7">
            <w:pPr>
              <w:jc w:val="center"/>
            </w:pPr>
          </w:p>
        </w:tc>
        <w:tc>
          <w:tcPr>
            <w:tcW w:w="1355" w:type="dxa"/>
            <w:vMerge/>
            <w:vAlign w:val="center"/>
          </w:tcPr>
          <w:p w:rsidR="00DC48C7" w:rsidRDefault="00DC48C7">
            <w:pPr>
              <w:jc w:val="center"/>
            </w:pPr>
          </w:p>
        </w:tc>
        <w:tc>
          <w:tcPr>
            <w:tcW w:w="1276" w:type="dxa"/>
            <w:vAlign w:val="center"/>
          </w:tcPr>
          <w:p w:rsidR="00DC48C7" w:rsidRDefault="00D94582">
            <w:pPr>
              <w:jc w:val="center"/>
            </w:pPr>
            <w:r>
              <w:t>30000</w:t>
            </w:r>
          </w:p>
        </w:tc>
        <w:tc>
          <w:tcPr>
            <w:tcW w:w="2347" w:type="dxa"/>
            <w:vAlign w:val="center"/>
          </w:tcPr>
          <w:p w:rsidR="00DC48C7" w:rsidRDefault="00D94582">
            <w:r>
              <w:rPr>
                <w:rFonts w:hint="eastAsia"/>
              </w:rPr>
              <w:t>重型血友病年限额</w:t>
            </w:r>
            <w:r>
              <w:rPr>
                <w:rFonts w:hint="eastAsia"/>
              </w:rPr>
              <w:t>6</w:t>
            </w:r>
            <w:r>
              <w:t>0000</w:t>
            </w:r>
            <w:r>
              <w:rPr>
                <w:rFonts w:hint="eastAsia"/>
              </w:rPr>
              <w:t>元</w:t>
            </w:r>
          </w:p>
        </w:tc>
      </w:tr>
      <w:tr w:rsidR="00DC48C7">
        <w:tc>
          <w:tcPr>
            <w:tcW w:w="2122" w:type="dxa"/>
            <w:vAlign w:val="center"/>
          </w:tcPr>
          <w:p w:rsidR="00DC48C7" w:rsidRDefault="00D94582">
            <w:pPr>
              <w:jc w:val="center"/>
            </w:pPr>
            <w:r>
              <w:rPr>
                <w:rFonts w:hint="eastAsia"/>
              </w:rPr>
              <w:t>恶性肿瘤（含白血病）</w:t>
            </w:r>
          </w:p>
        </w:tc>
        <w:tc>
          <w:tcPr>
            <w:tcW w:w="1196" w:type="dxa"/>
            <w:vMerge/>
            <w:vAlign w:val="center"/>
          </w:tcPr>
          <w:p w:rsidR="00DC48C7" w:rsidRDefault="00DC48C7">
            <w:pPr>
              <w:jc w:val="center"/>
            </w:pPr>
          </w:p>
        </w:tc>
        <w:tc>
          <w:tcPr>
            <w:tcW w:w="1355" w:type="dxa"/>
            <w:vMerge/>
            <w:vAlign w:val="center"/>
          </w:tcPr>
          <w:p w:rsidR="00DC48C7" w:rsidRDefault="00DC48C7">
            <w:pPr>
              <w:jc w:val="center"/>
            </w:pPr>
          </w:p>
        </w:tc>
        <w:tc>
          <w:tcPr>
            <w:tcW w:w="1276" w:type="dxa"/>
            <w:vAlign w:val="center"/>
          </w:tcPr>
          <w:p w:rsidR="00DC48C7" w:rsidRDefault="00D94582">
            <w:pPr>
              <w:jc w:val="center"/>
            </w:pPr>
            <w:r>
              <w:rPr>
                <w:rFonts w:hint="eastAsia"/>
              </w:rPr>
              <w:t>4</w:t>
            </w:r>
            <w:r>
              <w:t>000</w:t>
            </w:r>
          </w:p>
        </w:tc>
        <w:tc>
          <w:tcPr>
            <w:tcW w:w="2347" w:type="dxa"/>
            <w:vAlign w:val="center"/>
          </w:tcPr>
          <w:p w:rsidR="00DC48C7" w:rsidRDefault="00D94582">
            <w:r>
              <w:rPr>
                <w:rFonts w:hint="eastAsia"/>
              </w:rPr>
              <w:t>待遇享受年限</w:t>
            </w:r>
            <w:r>
              <w:rPr>
                <w:rFonts w:hint="eastAsia"/>
              </w:rPr>
              <w:t>5</w:t>
            </w:r>
            <w:r>
              <w:rPr>
                <w:rFonts w:hint="eastAsia"/>
              </w:rPr>
              <w:t>年，</w:t>
            </w:r>
            <w:r>
              <w:rPr>
                <w:rFonts w:hint="eastAsia"/>
              </w:rPr>
              <w:t>5</w:t>
            </w:r>
            <w:r>
              <w:rPr>
                <w:rFonts w:hint="eastAsia"/>
              </w:rPr>
              <w:t>年后因疾病复发需继续治疗的应重新办理备案手续</w:t>
            </w:r>
          </w:p>
        </w:tc>
      </w:tr>
      <w:tr w:rsidR="00DC48C7">
        <w:tc>
          <w:tcPr>
            <w:tcW w:w="2122" w:type="dxa"/>
            <w:vAlign w:val="center"/>
          </w:tcPr>
          <w:p w:rsidR="00DC48C7" w:rsidRDefault="00D94582">
            <w:pPr>
              <w:jc w:val="center"/>
            </w:pPr>
            <w:r>
              <w:rPr>
                <w:rFonts w:hint="eastAsia"/>
              </w:rPr>
              <w:t>肺动脉高压</w:t>
            </w:r>
          </w:p>
        </w:tc>
        <w:tc>
          <w:tcPr>
            <w:tcW w:w="2551" w:type="dxa"/>
            <w:gridSpan w:val="2"/>
            <w:vAlign w:val="center"/>
          </w:tcPr>
          <w:p w:rsidR="00DC48C7" w:rsidRDefault="00D94582">
            <w:pPr>
              <w:jc w:val="center"/>
            </w:pPr>
            <w:r>
              <w:rPr>
                <w:rFonts w:hint="eastAsia"/>
              </w:rPr>
              <w:t>60%</w:t>
            </w:r>
          </w:p>
        </w:tc>
        <w:tc>
          <w:tcPr>
            <w:tcW w:w="1276" w:type="dxa"/>
            <w:vAlign w:val="center"/>
          </w:tcPr>
          <w:p w:rsidR="00DC48C7" w:rsidRDefault="00D94582">
            <w:pPr>
              <w:jc w:val="center"/>
            </w:pPr>
            <w:r>
              <w:rPr>
                <w:rFonts w:hint="eastAsia"/>
              </w:rPr>
              <w:t>80000</w:t>
            </w:r>
          </w:p>
        </w:tc>
        <w:tc>
          <w:tcPr>
            <w:tcW w:w="2347" w:type="dxa"/>
            <w:vAlign w:val="center"/>
          </w:tcPr>
          <w:p w:rsidR="00DC48C7" w:rsidRDefault="00DC48C7">
            <w:pPr>
              <w:ind w:firstLineChars="200" w:firstLine="420"/>
            </w:pPr>
          </w:p>
        </w:tc>
      </w:tr>
      <w:tr w:rsidR="00DC48C7">
        <w:tc>
          <w:tcPr>
            <w:tcW w:w="2122" w:type="dxa"/>
            <w:vAlign w:val="center"/>
          </w:tcPr>
          <w:p w:rsidR="00DC48C7" w:rsidRDefault="00D94582">
            <w:pPr>
              <w:jc w:val="center"/>
            </w:pPr>
            <w:r>
              <w:rPr>
                <w:rFonts w:hint="eastAsia"/>
              </w:rPr>
              <w:t>恶性肿瘤</w:t>
            </w:r>
          </w:p>
          <w:p w:rsidR="00DC48C7" w:rsidRDefault="00D94582">
            <w:pPr>
              <w:jc w:val="center"/>
            </w:pPr>
            <w:r>
              <w:rPr>
                <w:rFonts w:hint="eastAsia"/>
              </w:rPr>
              <w:t>门诊特定放化疗</w:t>
            </w:r>
          </w:p>
        </w:tc>
        <w:tc>
          <w:tcPr>
            <w:tcW w:w="6174" w:type="dxa"/>
            <w:gridSpan w:val="4"/>
            <w:vAlign w:val="center"/>
          </w:tcPr>
          <w:p w:rsidR="00DC48C7" w:rsidRDefault="00D94582">
            <w:pPr>
              <w:ind w:firstLineChars="200" w:firstLine="420"/>
            </w:pPr>
            <w:r>
              <w:rPr>
                <w:rFonts w:hint="eastAsia"/>
              </w:rPr>
              <w:t>一个结算年度内个人自付</w:t>
            </w:r>
            <w:r>
              <w:rPr>
                <w:rFonts w:hint="eastAsia"/>
              </w:rPr>
              <w:t>6</w:t>
            </w:r>
            <w:r>
              <w:t>00</w:t>
            </w:r>
            <w:r>
              <w:rPr>
                <w:rFonts w:hint="eastAsia"/>
              </w:rPr>
              <w:t>元后，居民</w:t>
            </w:r>
            <w:proofErr w:type="gramStart"/>
            <w:r>
              <w:rPr>
                <w:rFonts w:hint="eastAsia"/>
              </w:rPr>
              <w:t>医</w:t>
            </w:r>
            <w:proofErr w:type="gramEnd"/>
            <w:r>
              <w:rPr>
                <w:rFonts w:hint="eastAsia"/>
              </w:rPr>
              <w:t>保基金参照住院费用分段按比例支付。恶性肿瘤门诊特定放化疗年度费用限额暂定为</w:t>
            </w:r>
            <w:r>
              <w:rPr>
                <w:rFonts w:hint="eastAsia"/>
              </w:rPr>
              <w:t>100000</w:t>
            </w:r>
            <w:r>
              <w:rPr>
                <w:rFonts w:hint="eastAsia"/>
              </w:rPr>
              <w:t>元，备案待遇有效期</w:t>
            </w:r>
            <w:r>
              <w:rPr>
                <w:rFonts w:hint="eastAsia"/>
              </w:rPr>
              <w:t>1</w:t>
            </w:r>
            <w:r>
              <w:t>2</w:t>
            </w:r>
            <w:r>
              <w:rPr>
                <w:rFonts w:hint="eastAsia"/>
              </w:rPr>
              <w:t>个月。</w:t>
            </w:r>
          </w:p>
        </w:tc>
      </w:tr>
      <w:tr w:rsidR="00DC48C7">
        <w:tc>
          <w:tcPr>
            <w:tcW w:w="2122" w:type="dxa"/>
            <w:vAlign w:val="center"/>
          </w:tcPr>
          <w:p w:rsidR="00DC48C7" w:rsidRDefault="00D94582">
            <w:pPr>
              <w:jc w:val="center"/>
            </w:pPr>
            <w:r>
              <w:rPr>
                <w:rFonts w:hint="eastAsia"/>
              </w:rPr>
              <w:t>终末期肾病</w:t>
            </w:r>
          </w:p>
          <w:p w:rsidR="00DC48C7" w:rsidRDefault="00D94582">
            <w:pPr>
              <w:jc w:val="center"/>
            </w:pPr>
            <w:r>
              <w:rPr>
                <w:rFonts w:hint="eastAsia"/>
              </w:rPr>
              <w:t>透析治疗</w:t>
            </w:r>
          </w:p>
          <w:p w:rsidR="00DC48C7" w:rsidRDefault="00D94582">
            <w:pPr>
              <w:jc w:val="center"/>
            </w:pPr>
            <w:r>
              <w:rPr>
                <w:rFonts w:hint="eastAsia"/>
              </w:rPr>
              <w:t>（含腹膜透析）</w:t>
            </w:r>
          </w:p>
        </w:tc>
        <w:tc>
          <w:tcPr>
            <w:tcW w:w="1196" w:type="dxa"/>
            <w:vAlign w:val="center"/>
          </w:tcPr>
          <w:p w:rsidR="00DC48C7" w:rsidRDefault="00D94582">
            <w:pPr>
              <w:jc w:val="center"/>
            </w:pPr>
            <w:r>
              <w:rPr>
                <w:rFonts w:hint="eastAsia"/>
              </w:rPr>
              <w:t>7</w:t>
            </w:r>
            <w:r>
              <w:t>0%</w:t>
            </w:r>
          </w:p>
        </w:tc>
        <w:tc>
          <w:tcPr>
            <w:tcW w:w="1355" w:type="dxa"/>
            <w:vMerge w:val="restart"/>
            <w:vAlign w:val="center"/>
          </w:tcPr>
          <w:p w:rsidR="00DC48C7" w:rsidRDefault="00D94582">
            <w:pPr>
              <w:jc w:val="center"/>
            </w:pPr>
            <w:r>
              <w:rPr>
                <w:rFonts w:hint="eastAsia"/>
              </w:rPr>
              <w:t>7</w:t>
            </w:r>
            <w:r>
              <w:t>0%</w:t>
            </w:r>
          </w:p>
        </w:tc>
        <w:tc>
          <w:tcPr>
            <w:tcW w:w="1276" w:type="dxa"/>
            <w:vAlign w:val="center"/>
          </w:tcPr>
          <w:p w:rsidR="00DC48C7" w:rsidRDefault="00D94582">
            <w:pPr>
              <w:jc w:val="center"/>
            </w:pPr>
            <w:r>
              <w:rPr>
                <w:rFonts w:hint="eastAsia"/>
              </w:rPr>
              <w:t>6</w:t>
            </w:r>
            <w:r>
              <w:t>0000</w:t>
            </w:r>
          </w:p>
        </w:tc>
        <w:tc>
          <w:tcPr>
            <w:tcW w:w="2347" w:type="dxa"/>
            <w:vAlign w:val="center"/>
          </w:tcPr>
          <w:p w:rsidR="00DC48C7" w:rsidRDefault="00D94582">
            <w:pPr>
              <w:ind w:firstLineChars="200" w:firstLine="420"/>
            </w:pPr>
            <w:r>
              <w:rPr>
                <w:rFonts w:hint="eastAsia"/>
              </w:rPr>
              <w:t>一个结算年度内个人先自付</w:t>
            </w:r>
            <w:r>
              <w:rPr>
                <w:rFonts w:hint="eastAsia"/>
              </w:rPr>
              <w:t>6</w:t>
            </w:r>
            <w:r>
              <w:t>00</w:t>
            </w:r>
            <w:r>
              <w:rPr>
                <w:rFonts w:hint="eastAsia"/>
              </w:rPr>
              <w:t>元。</w:t>
            </w:r>
          </w:p>
        </w:tc>
      </w:tr>
      <w:tr w:rsidR="00DC48C7">
        <w:tc>
          <w:tcPr>
            <w:tcW w:w="2122" w:type="dxa"/>
            <w:vAlign w:val="center"/>
          </w:tcPr>
          <w:p w:rsidR="00DC48C7" w:rsidRDefault="00D94582">
            <w:pPr>
              <w:jc w:val="center"/>
            </w:pPr>
            <w:r>
              <w:rPr>
                <w:rFonts w:hint="eastAsia"/>
              </w:rPr>
              <w:t>器官移植患者</w:t>
            </w:r>
          </w:p>
          <w:p w:rsidR="00DC48C7" w:rsidRDefault="00D94582">
            <w:pPr>
              <w:jc w:val="center"/>
            </w:pPr>
            <w:r>
              <w:rPr>
                <w:rFonts w:hint="eastAsia"/>
              </w:rPr>
              <w:t>抗排异治疗</w:t>
            </w:r>
          </w:p>
        </w:tc>
        <w:tc>
          <w:tcPr>
            <w:tcW w:w="1196" w:type="dxa"/>
            <w:vAlign w:val="center"/>
          </w:tcPr>
          <w:p w:rsidR="00DC48C7" w:rsidRDefault="00D94582">
            <w:pPr>
              <w:jc w:val="center"/>
            </w:pPr>
            <w:r>
              <w:rPr>
                <w:rFonts w:hint="eastAsia"/>
              </w:rPr>
              <w:t>6</w:t>
            </w:r>
            <w:r>
              <w:t>0%</w:t>
            </w:r>
          </w:p>
        </w:tc>
        <w:tc>
          <w:tcPr>
            <w:tcW w:w="1355" w:type="dxa"/>
            <w:vMerge/>
            <w:vAlign w:val="center"/>
          </w:tcPr>
          <w:p w:rsidR="00DC48C7" w:rsidRDefault="00DC48C7">
            <w:pPr>
              <w:jc w:val="center"/>
            </w:pPr>
          </w:p>
        </w:tc>
        <w:tc>
          <w:tcPr>
            <w:tcW w:w="1276" w:type="dxa"/>
            <w:vAlign w:val="center"/>
          </w:tcPr>
          <w:p w:rsidR="00DC48C7" w:rsidRDefault="00D94582">
            <w:pPr>
              <w:jc w:val="center"/>
            </w:pPr>
            <w:r>
              <w:rPr>
                <w:rFonts w:hint="eastAsia"/>
              </w:rPr>
              <w:t>3</w:t>
            </w:r>
            <w:r>
              <w:t>0000</w:t>
            </w:r>
          </w:p>
        </w:tc>
        <w:tc>
          <w:tcPr>
            <w:tcW w:w="2347" w:type="dxa"/>
            <w:vAlign w:val="center"/>
          </w:tcPr>
          <w:p w:rsidR="00DC48C7" w:rsidRDefault="00D94582">
            <w:pPr>
              <w:ind w:firstLineChars="200" w:firstLine="420"/>
            </w:pPr>
            <w:r>
              <w:rPr>
                <w:rFonts w:hint="eastAsia"/>
              </w:rPr>
              <w:t>一个结算年度内个人先自付</w:t>
            </w:r>
            <w:r>
              <w:rPr>
                <w:rFonts w:hint="eastAsia"/>
              </w:rPr>
              <w:t>6</w:t>
            </w:r>
            <w:r>
              <w:t>00</w:t>
            </w:r>
            <w:r>
              <w:rPr>
                <w:rFonts w:hint="eastAsia"/>
              </w:rPr>
              <w:t>元。</w:t>
            </w:r>
          </w:p>
        </w:tc>
      </w:tr>
      <w:tr w:rsidR="00DC48C7">
        <w:tc>
          <w:tcPr>
            <w:tcW w:w="8296" w:type="dxa"/>
            <w:gridSpan w:val="5"/>
            <w:vAlign w:val="center"/>
          </w:tcPr>
          <w:p w:rsidR="00DC48C7" w:rsidRDefault="00D94582">
            <w:r>
              <w:rPr>
                <w:rFonts w:hint="eastAsia"/>
              </w:rPr>
              <w:t>说明：</w:t>
            </w:r>
            <w:r>
              <w:rPr>
                <w:rFonts w:hint="eastAsia"/>
              </w:rPr>
              <w:t>1</w:t>
            </w:r>
            <w:r>
              <w:rPr>
                <w:rFonts w:hint="eastAsia"/>
              </w:rPr>
              <w:t>、特殊病有多个起付标准的，统一合并为</w:t>
            </w:r>
            <w:r>
              <w:rPr>
                <w:rFonts w:hint="eastAsia"/>
              </w:rPr>
              <w:t>600</w:t>
            </w:r>
            <w:r>
              <w:rPr>
                <w:rFonts w:hint="eastAsia"/>
              </w:rPr>
              <w:t>元。</w:t>
            </w:r>
          </w:p>
          <w:p w:rsidR="00DC48C7" w:rsidRDefault="00D94582">
            <w:pPr>
              <w:spacing w:line="360" w:lineRule="exact"/>
              <w:ind w:firstLineChars="200" w:firstLine="420"/>
            </w:pPr>
            <w:r>
              <w:rPr>
                <w:rFonts w:hint="eastAsia"/>
              </w:rPr>
              <w:lastRenderedPageBreak/>
              <w:t xml:space="preserve">  2</w:t>
            </w:r>
            <w:r>
              <w:rPr>
                <w:rFonts w:hint="eastAsia"/>
              </w:rPr>
              <w:t>、参保人员在异地进行恶性肿瘤门诊特定放化疗治疗的，应选</w:t>
            </w:r>
            <w:proofErr w:type="gramStart"/>
            <w:r>
              <w:rPr>
                <w:rFonts w:hint="eastAsia"/>
              </w:rPr>
              <w:t>择一家</w:t>
            </w:r>
            <w:proofErr w:type="gramEnd"/>
            <w:r>
              <w:rPr>
                <w:rFonts w:hint="eastAsia"/>
              </w:rPr>
              <w:t>异地就医门诊联网结算的二级及以上医疗机构作为直接结算的定点医疗机构。参保人员在异地进行终末期肾病门诊透析治疗的，应选</w:t>
            </w:r>
            <w:proofErr w:type="gramStart"/>
            <w:r>
              <w:rPr>
                <w:rFonts w:hint="eastAsia"/>
              </w:rPr>
              <w:t>择一家</w:t>
            </w:r>
            <w:proofErr w:type="gramEnd"/>
            <w:r>
              <w:rPr>
                <w:rFonts w:hint="eastAsia"/>
              </w:rPr>
              <w:t>异地就医门诊联网结算的具备透析治疗资质的医疗机构作为直接结算的定点医疗机构。参保人员在异地进行门诊器官移植抗排异、肺动脉高压治疗的，应选</w:t>
            </w:r>
            <w:proofErr w:type="gramStart"/>
            <w:r>
              <w:rPr>
                <w:rFonts w:hint="eastAsia"/>
              </w:rPr>
              <w:t>择一家</w:t>
            </w:r>
            <w:proofErr w:type="gramEnd"/>
            <w:r>
              <w:rPr>
                <w:rFonts w:hint="eastAsia"/>
              </w:rPr>
              <w:t>异地就医门诊联网结算的三级医疗机构作为直接结算的定点医疗机构。如需变更定点医疗机构，需在就诊前通过参保地</w:t>
            </w:r>
            <w:proofErr w:type="gramStart"/>
            <w:r>
              <w:rPr>
                <w:rFonts w:hint="eastAsia"/>
              </w:rPr>
              <w:t>医</w:t>
            </w:r>
            <w:proofErr w:type="gramEnd"/>
            <w:r>
              <w:rPr>
                <w:rFonts w:hint="eastAsia"/>
              </w:rPr>
              <w:t>保经办窗口或南通</w:t>
            </w:r>
            <w:proofErr w:type="gramStart"/>
            <w:r>
              <w:rPr>
                <w:rFonts w:hint="eastAsia"/>
              </w:rPr>
              <w:t>医</w:t>
            </w:r>
            <w:proofErr w:type="gramEnd"/>
            <w:r>
              <w:rPr>
                <w:rFonts w:hint="eastAsia"/>
              </w:rPr>
              <w:t>保</w:t>
            </w:r>
            <w:r>
              <w:rPr>
                <w:rFonts w:hint="eastAsia"/>
              </w:rPr>
              <w:t>手机</w:t>
            </w:r>
            <w:r>
              <w:rPr>
                <w:rFonts w:hint="eastAsia"/>
              </w:rPr>
              <w:t>APP</w:t>
            </w:r>
            <w:r>
              <w:rPr>
                <w:rFonts w:hint="eastAsia"/>
              </w:rPr>
              <w:t>等途径办理备案变更手续。参保人员在非选定的医疗机构发生的医疗费用，不享受相关特殊病待遇。</w:t>
            </w:r>
          </w:p>
        </w:tc>
      </w:tr>
    </w:tbl>
    <w:p w:rsidR="00DC48C7" w:rsidRDefault="00DC48C7">
      <w:pPr>
        <w:widowControl/>
        <w:jc w:val="left"/>
        <w:rPr>
          <w:rFonts w:ascii="宋体" w:hAnsi="宋体"/>
          <w:sz w:val="24"/>
          <w:szCs w:val="24"/>
        </w:rPr>
      </w:pPr>
    </w:p>
    <w:p w:rsidR="00DC48C7" w:rsidRDefault="00D94582">
      <w:pPr>
        <w:ind w:firstLineChars="200" w:firstLine="482"/>
        <w:rPr>
          <w:rFonts w:ascii="宋体" w:hAnsi="宋体"/>
          <w:sz w:val="24"/>
          <w:szCs w:val="24"/>
        </w:rPr>
      </w:pPr>
      <w:r>
        <w:rPr>
          <w:rFonts w:ascii="宋体" w:hAnsi="宋体" w:hint="eastAsia"/>
          <w:b/>
          <w:sz w:val="24"/>
          <w:szCs w:val="24"/>
        </w:rPr>
        <w:t>2.</w:t>
      </w:r>
      <w:r>
        <w:rPr>
          <w:rFonts w:ascii="宋体" w:hAnsi="宋体" w:hint="eastAsia"/>
          <w:b/>
          <w:sz w:val="24"/>
          <w:szCs w:val="24"/>
        </w:rPr>
        <w:t>住</w:t>
      </w:r>
      <w:r>
        <w:rPr>
          <w:rFonts w:ascii="宋体" w:hAnsi="宋体"/>
          <w:b/>
          <w:sz w:val="24"/>
          <w:szCs w:val="24"/>
        </w:rPr>
        <w:t>院待遇</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1258"/>
        <w:gridCol w:w="777"/>
        <w:gridCol w:w="1871"/>
      </w:tblGrid>
      <w:tr w:rsidR="00DC48C7">
        <w:tc>
          <w:tcPr>
            <w:tcW w:w="8296" w:type="dxa"/>
            <w:gridSpan w:val="5"/>
            <w:vAlign w:val="center"/>
          </w:tcPr>
          <w:p w:rsidR="00DC48C7" w:rsidRDefault="00D94582">
            <w:pPr>
              <w:jc w:val="center"/>
            </w:pPr>
            <w:r>
              <w:rPr>
                <w:rFonts w:hint="eastAsia"/>
              </w:rPr>
              <w:t>住院起付标准</w:t>
            </w:r>
          </w:p>
        </w:tc>
      </w:tr>
      <w:tr w:rsidR="00DC48C7">
        <w:tc>
          <w:tcPr>
            <w:tcW w:w="2263" w:type="dxa"/>
            <w:vAlign w:val="center"/>
          </w:tcPr>
          <w:p w:rsidR="00DC48C7" w:rsidRDefault="00D94582">
            <w:pPr>
              <w:jc w:val="center"/>
            </w:pPr>
            <w:r>
              <w:rPr>
                <w:rFonts w:hint="eastAsia"/>
              </w:rPr>
              <w:t>医院等级</w:t>
            </w:r>
          </w:p>
        </w:tc>
        <w:tc>
          <w:tcPr>
            <w:tcW w:w="3385" w:type="dxa"/>
            <w:gridSpan w:val="2"/>
            <w:vAlign w:val="center"/>
          </w:tcPr>
          <w:p w:rsidR="00DC48C7" w:rsidRDefault="00D94582">
            <w:pPr>
              <w:jc w:val="center"/>
            </w:pPr>
            <w:r>
              <w:rPr>
                <w:rFonts w:hint="eastAsia"/>
              </w:rPr>
              <w:t>成年居民、老年居民</w:t>
            </w:r>
          </w:p>
        </w:tc>
        <w:tc>
          <w:tcPr>
            <w:tcW w:w="2648" w:type="dxa"/>
            <w:gridSpan w:val="2"/>
            <w:vAlign w:val="center"/>
          </w:tcPr>
          <w:p w:rsidR="00DC48C7" w:rsidRDefault="00D94582">
            <w:pPr>
              <w:jc w:val="center"/>
            </w:pPr>
            <w:r>
              <w:rPr>
                <w:rFonts w:hint="eastAsia"/>
              </w:rPr>
              <w:t>学生、未成年人</w:t>
            </w:r>
          </w:p>
        </w:tc>
      </w:tr>
      <w:tr w:rsidR="00DC48C7">
        <w:tc>
          <w:tcPr>
            <w:tcW w:w="2263" w:type="dxa"/>
            <w:vAlign w:val="center"/>
          </w:tcPr>
          <w:p w:rsidR="00DC48C7" w:rsidRDefault="00D94582">
            <w:pPr>
              <w:jc w:val="center"/>
            </w:pPr>
            <w:r>
              <w:rPr>
                <w:rFonts w:hint="eastAsia"/>
              </w:rPr>
              <w:t>三级综合</w:t>
            </w:r>
          </w:p>
        </w:tc>
        <w:tc>
          <w:tcPr>
            <w:tcW w:w="3385" w:type="dxa"/>
            <w:gridSpan w:val="2"/>
            <w:vAlign w:val="center"/>
          </w:tcPr>
          <w:p w:rsidR="00DC48C7" w:rsidRDefault="00D94582">
            <w:pPr>
              <w:jc w:val="center"/>
            </w:pPr>
            <w:r>
              <w:rPr>
                <w:rFonts w:hint="eastAsia"/>
              </w:rPr>
              <w:t>1</w:t>
            </w:r>
            <w:r>
              <w:t>000</w:t>
            </w:r>
            <w:r>
              <w:rPr>
                <w:rFonts w:hint="eastAsia"/>
              </w:rPr>
              <w:t>元</w:t>
            </w:r>
          </w:p>
        </w:tc>
        <w:tc>
          <w:tcPr>
            <w:tcW w:w="2648" w:type="dxa"/>
            <w:gridSpan w:val="2"/>
            <w:vAlign w:val="center"/>
          </w:tcPr>
          <w:p w:rsidR="00DC48C7" w:rsidRDefault="00D94582">
            <w:pPr>
              <w:jc w:val="center"/>
            </w:pPr>
            <w:r>
              <w:rPr>
                <w:rFonts w:hint="eastAsia"/>
              </w:rPr>
              <w:t>5</w:t>
            </w:r>
            <w:r>
              <w:t>00</w:t>
            </w:r>
            <w:r>
              <w:rPr>
                <w:rFonts w:hint="eastAsia"/>
              </w:rPr>
              <w:t>元</w:t>
            </w:r>
          </w:p>
        </w:tc>
      </w:tr>
      <w:tr w:rsidR="00DC48C7">
        <w:tc>
          <w:tcPr>
            <w:tcW w:w="2263" w:type="dxa"/>
            <w:vAlign w:val="center"/>
          </w:tcPr>
          <w:p w:rsidR="00DC48C7" w:rsidRDefault="00D94582">
            <w:pPr>
              <w:jc w:val="center"/>
            </w:pPr>
            <w:r>
              <w:rPr>
                <w:rFonts w:hint="eastAsia"/>
              </w:rPr>
              <w:t>三级专科</w:t>
            </w:r>
          </w:p>
        </w:tc>
        <w:tc>
          <w:tcPr>
            <w:tcW w:w="3385" w:type="dxa"/>
            <w:gridSpan w:val="2"/>
            <w:vAlign w:val="center"/>
          </w:tcPr>
          <w:p w:rsidR="00DC48C7" w:rsidRDefault="00D94582">
            <w:pPr>
              <w:jc w:val="center"/>
            </w:pPr>
            <w:r>
              <w:rPr>
                <w:rFonts w:hint="eastAsia"/>
              </w:rPr>
              <w:t>8</w:t>
            </w:r>
            <w:r>
              <w:t>00</w:t>
            </w:r>
            <w:r>
              <w:rPr>
                <w:rFonts w:hint="eastAsia"/>
              </w:rPr>
              <w:t>元</w:t>
            </w:r>
          </w:p>
        </w:tc>
        <w:tc>
          <w:tcPr>
            <w:tcW w:w="2648" w:type="dxa"/>
            <w:gridSpan w:val="2"/>
            <w:vAlign w:val="center"/>
          </w:tcPr>
          <w:p w:rsidR="00DC48C7" w:rsidRDefault="00D94582">
            <w:pPr>
              <w:jc w:val="center"/>
            </w:pPr>
            <w:r>
              <w:rPr>
                <w:rFonts w:hint="eastAsia"/>
              </w:rPr>
              <w:t>4</w:t>
            </w:r>
            <w:r>
              <w:t>00</w:t>
            </w:r>
            <w:r>
              <w:rPr>
                <w:rFonts w:hint="eastAsia"/>
              </w:rPr>
              <w:t>元</w:t>
            </w:r>
          </w:p>
        </w:tc>
      </w:tr>
      <w:tr w:rsidR="00DC48C7">
        <w:tc>
          <w:tcPr>
            <w:tcW w:w="2263" w:type="dxa"/>
            <w:vAlign w:val="center"/>
          </w:tcPr>
          <w:p w:rsidR="00DC48C7" w:rsidRDefault="00D94582">
            <w:pPr>
              <w:jc w:val="center"/>
            </w:pPr>
            <w:r>
              <w:rPr>
                <w:rFonts w:hint="eastAsia"/>
              </w:rPr>
              <w:t>二级</w:t>
            </w:r>
          </w:p>
        </w:tc>
        <w:tc>
          <w:tcPr>
            <w:tcW w:w="3385" w:type="dxa"/>
            <w:gridSpan w:val="2"/>
            <w:vAlign w:val="center"/>
          </w:tcPr>
          <w:p w:rsidR="00DC48C7" w:rsidRDefault="00D94582">
            <w:pPr>
              <w:jc w:val="center"/>
            </w:pPr>
            <w:r>
              <w:rPr>
                <w:rFonts w:hint="eastAsia"/>
              </w:rPr>
              <w:t>7</w:t>
            </w:r>
            <w:r>
              <w:t>50</w:t>
            </w:r>
            <w:r>
              <w:rPr>
                <w:rFonts w:hint="eastAsia"/>
              </w:rPr>
              <w:t>元</w:t>
            </w:r>
          </w:p>
        </w:tc>
        <w:tc>
          <w:tcPr>
            <w:tcW w:w="2648" w:type="dxa"/>
            <w:gridSpan w:val="2"/>
            <w:vAlign w:val="center"/>
          </w:tcPr>
          <w:p w:rsidR="00DC48C7" w:rsidRDefault="00D94582">
            <w:pPr>
              <w:jc w:val="center"/>
            </w:pPr>
            <w:r>
              <w:rPr>
                <w:rFonts w:hint="eastAsia"/>
              </w:rPr>
              <w:t>3</w:t>
            </w:r>
            <w:r>
              <w:t>75</w:t>
            </w:r>
            <w:r>
              <w:rPr>
                <w:rFonts w:hint="eastAsia"/>
              </w:rPr>
              <w:t>元</w:t>
            </w:r>
          </w:p>
        </w:tc>
      </w:tr>
      <w:tr w:rsidR="00DC48C7">
        <w:tc>
          <w:tcPr>
            <w:tcW w:w="2263" w:type="dxa"/>
            <w:vAlign w:val="center"/>
          </w:tcPr>
          <w:p w:rsidR="00DC48C7" w:rsidRDefault="00D94582">
            <w:pPr>
              <w:jc w:val="center"/>
            </w:pPr>
            <w:r>
              <w:rPr>
                <w:rFonts w:hint="eastAsia"/>
              </w:rPr>
              <w:t>一级</w:t>
            </w:r>
          </w:p>
        </w:tc>
        <w:tc>
          <w:tcPr>
            <w:tcW w:w="3385" w:type="dxa"/>
            <w:gridSpan w:val="2"/>
            <w:vAlign w:val="center"/>
          </w:tcPr>
          <w:p w:rsidR="00DC48C7" w:rsidRDefault="00D94582">
            <w:pPr>
              <w:jc w:val="center"/>
            </w:pPr>
            <w:r>
              <w:rPr>
                <w:rFonts w:hint="eastAsia"/>
              </w:rPr>
              <w:t>5</w:t>
            </w:r>
            <w:r>
              <w:t>00</w:t>
            </w:r>
            <w:r>
              <w:rPr>
                <w:rFonts w:hint="eastAsia"/>
              </w:rPr>
              <w:t>元</w:t>
            </w:r>
          </w:p>
        </w:tc>
        <w:tc>
          <w:tcPr>
            <w:tcW w:w="2648" w:type="dxa"/>
            <w:gridSpan w:val="2"/>
            <w:vAlign w:val="center"/>
          </w:tcPr>
          <w:p w:rsidR="00DC48C7" w:rsidRDefault="00D94582">
            <w:pPr>
              <w:jc w:val="center"/>
            </w:pPr>
            <w:r>
              <w:rPr>
                <w:rFonts w:hint="eastAsia"/>
              </w:rPr>
              <w:t>2</w:t>
            </w:r>
            <w:r>
              <w:t>50</w:t>
            </w:r>
            <w:r>
              <w:rPr>
                <w:rFonts w:hint="eastAsia"/>
              </w:rPr>
              <w:t>元</w:t>
            </w:r>
          </w:p>
        </w:tc>
      </w:tr>
      <w:tr w:rsidR="00DC48C7">
        <w:tc>
          <w:tcPr>
            <w:tcW w:w="2263" w:type="dxa"/>
            <w:vAlign w:val="center"/>
          </w:tcPr>
          <w:p w:rsidR="00DC48C7" w:rsidRDefault="00D94582">
            <w:pPr>
              <w:jc w:val="center"/>
            </w:pPr>
            <w:r>
              <w:rPr>
                <w:rFonts w:hint="eastAsia"/>
              </w:rPr>
              <w:t>社区卫生服务中心</w:t>
            </w:r>
          </w:p>
        </w:tc>
        <w:tc>
          <w:tcPr>
            <w:tcW w:w="3385" w:type="dxa"/>
            <w:gridSpan w:val="2"/>
            <w:vAlign w:val="center"/>
          </w:tcPr>
          <w:p w:rsidR="00DC48C7" w:rsidRDefault="00D94582">
            <w:pPr>
              <w:jc w:val="center"/>
            </w:pPr>
            <w:r>
              <w:rPr>
                <w:rFonts w:hint="eastAsia"/>
              </w:rPr>
              <w:t>3</w:t>
            </w:r>
            <w:r>
              <w:t>00</w:t>
            </w:r>
            <w:r>
              <w:rPr>
                <w:rFonts w:hint="eastAsia"/>
              </w:rPr>
              <w:t>元</w:t>
            </w:r>
          </w:p>
        </w:tc>
        <w:tc>
          <w:tcPr>
            <w:tcW w:w="2648" w:type="dxa"/>
            <w:gridSpan w:val="2"/>
            <w:vAlign w:val="center"/>
          </w:tcPr>
          <w:p w:rsidR="00DC48C7" w:rsidRDefault="00D94582">
            <w:pPr>
              <w:jc w:val="center"/>
            </w:pPr>
            <w:r>
              <w:rPr>
                <w:rFonts w:hint="eastAsia"/>
              </w:rPr>
              <w:t>2</w:t>
            </w:r>
            <w:r>
              <w:t>00</w:t>
            </w:r>
            <w:r>
              <w:rPr>
                <w:rFonts w:hint="eastAsia"/>
              </w:rPr>
              <w:t>元</w:t>
            </w:r>
          </w:p>
        </w:tc>
      </w:tr>
      <w:tr w:rsidR="00DC48C7">
        <w:tc>
          <w:tcPr>
            <w:tcW w:w="8296" w:type="dxa"/>
            <w:gridSpan w:val="5"/>
            <w:vAlign w:val="center"/>
          </w:tcPr>
          <w:p w:rsidR="00DC48C7" w:rsidRDefault="00D94582">
            <w:pPr>
              <w:jc w:val="center"/>
            </w:pPr>
            <w:r>
              <w:rPr>
                <w:rFonts w:hint="eastAsia"/>
              </w:rPr>
              <w:t>报支比例（起付标准以上最高限额以下）</w:t>
            </w:r>
          </w:p>
        </w:tc>
      </w:tr>
      <w:tr w:rsidR="00DC48C7">
        <w:tc>
          <w:tcPr>
            <w:tcW w:w="2263" w:type="dxa"/>
            <w:vMerge w:val="restart"/>
            <w:vAlign w:val="center"/>
          </w:tcPr>
          <w:p w:rsidR="00DC48C7" w:rsidRDefault="00D94582">
            <w:pPr>
              <w:jc w:val="center"/>
            </w:pPr>
            <w:r>
              <w:rPr>
                <w:rFonts w:hint="eastAsia"/>
              </w:rPr>
              <w:t>费用段（万元）</w:t>
            </w:r>
          </w:p>
        </w:tc>
        <w:tc>
          <w:tcPr>
            <w:tcW w:w="6033" w:type="dxa"/>
            <w:gridSpan w:val="4"/>
            <w:vAlign w:val="center"/>
          </w:tcPr>
          <w:p w:rsidR="00DC48C7" w:rsidRDefault="00D94582">
            <w:pPr>
              <w:jc w:val="center"/>
            </w:pPr>
            <w:r>
              <w:rPr>
                <w:rFonts w:hint="eastAsia"/>
              </w:rPr>
              <w:t>居民</w:t>
            </w:r>
          </w:p>
        </w:tc>
      </w:tr>
      <w:tr w:rsidR="00DC48C7">
        <w:tc>
          <w:tcPr>
            <w:tcW w:w="2263" w:type="dxa"/>
            <w:vMerge/>
            <w:vAlign w:val="center"/>
          </w:tcPr>
          <w:p w:rsidR="00DC48C7" w:rsidRDefault="00DC48C7">
            <w:pPr>
              <w:jc w:val="center"/>
            </w:pPr>
          </w:p>
        </w:tc>
        <w:tc>
          <w:tcPr>
            <w:tcW w:w="2127" w:type="dxa"/>
            <w:vAlign w:val="center"/>
          </w:tcPr>
          <w:p w:rsidR="00DC48C7" w:rsidRDefault="00D94582">
            <w:pPr>
              <w:jc w:val="center"/>
            </w:pPr>
            <w:r>
              <w:rPr>
                <w:rFonts w:hint="eastAsia"/>
              </w:rPr>
              <w:t>一级医院</w:t>
            </w:r>
          </w:p>
        </w:tc>
        <w:tc>
          <w:tcPr>
            <w:tcW w:w="2035" w:type="dxa"/>
            <w:gridSpan w:val="2"/>
            <w:vAlign w:val="center"/>
          </w:tcPr>
          <w:p w:rsidR="00DC48C7" w:rsidRDefault="00D94582">
            <w:pPr>
              <w:jc w:val="center"/>
            </w:pPr>
            <w:r>
              <w:rPr>
                <w:rFonts w:hint="eastAsia"/>
              </w:rPr>
              <w:t>二级医院</w:t>
            </w:r>
          </w:p>
        </w:tc>
        <w:tc>
          <w:tcPr>
            <w:tcW w:w="1871" w:type="dxa"/>
            <w:vAlign w:val="center"/>
          </w:tcPr>
          <w:p w:rsidR="00DC48C7" w:rsidRDefault="00D94582">
            <w:pPr>
              <w:jc w:val="center"/>
            </w:pPr>
            <w:r>
              <w:rPr>
                <w:rFonts w:hint="eastAsia"/>
              </w:rPr>
              <w:t>三级医院</w:t>
            </w:r>
          </w:p>
        </w:tc>
      </w:tr>
      <w:tr w:rsidR="00DC48C7">
        <w:tc>
          <w:tcPr>
            <w:tcW w:w="2263" w:type="dxa"/>
            <w:vAlign w:val="center"/>
          </w:tcPr>
          <w:p w:rsidR="00DC48C7" w:rsidRDefault="00D94582">
            <w:pPr>
              <w:jc w:val="center"/>
            </w:pPr>
            <w:r>
              <w:rPr>
                <w:rFonts w:hint="eastAsia"/>
              </w:rPr>
              <w:t>0</w:t>
            </w:r>
            <w:r>
              <w:rPr>
                <w:rFonts w:hint="eastAsia"/>
              </w:rPr>
              <w:t>—</w:t>
            </w:r>
            <w:r>
              <w:rPr>
                <w:rFonts w:hint="eastAsia"/>
              </w:rPr>
              <w:t>1</w:t>
            </w:r>
            <w:r>
              <w:t>0</w:t>
            </w:r>
            <w:r>
              <w:rPr>
                <w:rFonts w:hint="eastAsia"/>
              </w:rPr>
              <w:t>（含）</w:t>
            </w:r>
          </w:p>
        </w:tc>
        <w:tc>
          <w:tcPr>
            <w:tcW w:w="2127" w:type="dxa"/>
            <w:vAlign w:val="center"/>
          </w:tcPr>
          <w:p w:rsidR="00DC48C7" w:rsidRDefault="00D94582">
            <w:pPr>
              <w:jc w:val="center"/>
            </w:pPr>
            <w:r>
              <w:rPr>
                <w:rFonts w:hint="eastAsia"/>
              </w:rPr>
              <w:t>90</w:t>
            </w:r>
            <w:r>
              <w:t>%</w:t>
            </w:r>
          </w:p>
        </w:tc>
        <w:tc>
          <w:tcPr>
            <w:tcW w:w="2035" w:type="dxa"/>
            <w:gridSpan w:val="2"/>
            <w:vAlign w:val="center"/>
          </w:tcPr>
          <w:p w:rsidR="00DC48C7" w:rsidRDefault="00D94582">
            <w:pPr>
              <w:jc w:val="center"/>
            </w:pPr>
            <w:r>
              <w:rPr>
                <w:rFonts w:hint="eastAsia"/>
              </w:rPr>
              <w:t>82</w:t>
            </w:r>
            <w:r>
              <w:t>%</w:t>
            </w:r>
          </w:p>
        </w:tc>
        <w:tc>
          <w:tcPr>
            <w:tcW w:w="1871" w:type="dxa"/>
            <w:vAlign w:val="center"/>
          </w:tcPr>
          <w:p w:rsidR="00DC48C7" w:rsidRDefault="00D94582">
            <w:pPr>
              <w:jc w:val="center"/>
            </w:pPr>
            <w:r>
              <w:rPr>
                <w:rFonts w:hint="eastAsia"/>
              </w:rPr>
              <w:t>80</w:t>
            </w:r>
            <w:r>
              <w:t>%</w:t>
            </w:r>
          </w:p>
        </w:tc>
      </w:tr>
      <w:tr w:rsidR="00DC48C7">
        <w:tc>
          <w:tcPr>
            <w:tcW w:w="2263" w:type="dxa"/>
            <w:vMerge w:val="restart"/>
            <w:vAlign w:val="center"/>
          </w:tcPr>
          <w:p w:rsidR="00DC48C7" w:rsidRDefault="00D94582">
            <w:pPr>
              <w:jc w:val="center"/>
            </w:pPr>
            <w:r>
              <w:rPr>
                <w:rFonts w:hint="eastAsia"/>
              </w:rPr>
              <w:t>1</w:t>
            </w:r>
            <w:r>
              <w:t>0</w:t>
            </w:r>
            <w:r>
              <w:rPr>
                <w:rFonts w:hint="eastAsia"/>
              </w:rPr>
              <w:t>—</w:t>
            </w:r>
            <w:r>
              <w:rPr>
                <w:rFonts w:hint="eastAsia"/>
              </w:rPr>
              <w:t>2</w:t>
            </w:r>
            <w:r>
              <w:t>0</w:t>
            </w:r>
            <w:r>
              <w:rPr>
                <w:rFonts w:hint="eastAsia"/>
              </w:rPr>
              <w:t>（含）</w:t>
            </w:r>
          </w:p>
        </w:tc>
        <w:tc>
          <w:tcPr>
            <w:tcW w:w="2127" w:type="dxa"/>
            <w:vAlign w:val="center"/>
          </w:tcPr>
          <w:p w:rsidR="00DC48C7" w:rsidRDefault="00D94582">
            <w:pPr>
              <w:jc w:val="center"/>
            </w:pPr>
            <w:r>
              <w:rPr>
                <w:rFonts w:hint="eastAsia"/>
              </w:rPr>
              <w:t>95</w:t>
            </w:r>
            <w:r>
              <w:t>%</w:t>
            </w:r>
          </w:p>
        </w:tc>
        <w:tc>
          <w:tcPr>
            <w:tcW w:w="2035" w:type="dxa"/>
            <w:gridSpan w:val="2"/>
            <w:vAlign w:val="center"/>
          </w:tcPr>
          <w:p w:rsidR="00DC48C7" w:rsidRDefault="00D94582">
            <w:pPr>
              <w:jc w:val="center"/>
            </w:pPr>
            <w:r>
              <w:rPr>
                <w:rFonts w:hint="eastAsia"/>
              </w:rPr>
              <w:t>87</w:t>
            </w:r>
            <w:r>
              <w:t>%</w:t>
            </w:r>
          </w:p>
        </w:tc>
        <w:tc>
          <w:tcPr>
            <w:tcW w:w="1871" w:type="dxa"/>
            <w:vAlign w:val="center"/>
          </w:tcPr>
          <w:p w:rsidR="00DC48C7" w:rsidRDefault="00D94582">
            <w:pPr>
              <w:jc w:val="center"/>
            </w:pPr>
            <w:r>
              <w:rPr>
                <w:rFonts w:hint="eastAsia"/>
              </w:rPr>
              <w:t>84</w:t>
            </w:r>
            <w:r>
              <w:t>%</w:t>
            </w:r>
          </w:p>
        </w:tc>
      </w:tr>
      <w:tr w:rsidR="00DC48C7">
        <w:tc>
          <w:tcPr>
            <w:tcW w:w="2263" w:type="dxa"/>
            <w:vMerge/>
            <w:vAlign w:val="center"/>
          </w:tcPr>
          <w:p w:rsidR="00DC48C7" w:rsidRDefault="00DC48C7">
            <w:pPr>
              <w:jc w:val="center"/>
            </w:pPr>
          </w:p>
        </w:tc>
        <w:tc>
          <w:tcPr>
            <w:tcW w:w="2127" w:type="dxa"/>
            <w:vAlign w:val="center"/>
          </w:tcPr>
          <w:p w:rsidR="00DC48C7" w:rsidRDefault="00D94582">
            <w:pPr>
              <w:jc w:val="center"/>
            </w:pPr>
            <w:r>
              <w:rPr>
                <w:rFonts w:hint="eastAsia"/>
              </w:rPr>
              <w:t>学生、未成年人</w:t>
            </w:r>
          </w:p>
          <w:p w:rsidR="00DC48C7" w:rsidRDefault="00D94582">
            <w:pPr>
              <w:jc w:val="center"/>
            </w:pPr>
            <w:r>
              <w:rPr>
                <w:rFonts w:hint="eastAsia"/>
              </w:rPr>
              <w:t>9</w:t>
            </w:r>
            <w:r>
              <w:t>8%</w:t>
            </w:r>
          </w:p>
        </w:tc>
        <w:tc>
          <w:tcPr>
            <w:tcW w:w="2035" w:type="dxa"/>
            <w:gridSpan w:val="2"/>
            <w:vAlign w:val="center"/>
          </w:tcPr>
          <w:p w:rsidR="00DC48C7" w:rsidRDefault="00D94582">
            <w:pPr>
              <w:jc w:val="center"/>
            </w:pPr>
            <w:r>
              <w:rPr>
                <w:rFonts w:hint="eastAsia"/>
              </w:rPr>
              <w:t>学生、未成年人</w:t>
            </w:r>
          </w:p>
          <w:p w:rsidR="00DC48C7" w:rsidRDefault="00D94582">
            <w:pPr>
              <w:jc w:val="center"/>
            </w:pPr>
            <w:r>
              <w:rPr>
                <w:rFonts w:hint="eastAsia"/>
              </w:rPr>
              <w:t>94</w:t>
            </w:r>
            <w:r>
              <w:t>%</w:t>
            </w:r>
          </w:p>
        </w:tc>
        <w:tc>
          <w:tcPr>
            <w:tcW w:w="1871" w:type="dxa"/>
            <w:vAlign w:val="center"/>
          </w:tcPr>
          <w:p w:rsidR="00DC48C7" w:rsidRDefault="00D94582">
            <w:pPr>
              <w:jc w:val="center"/>
              <w:rPr>
                <w:color w:val="FF0000"/>
              </w:rPr>
            </w:pPr>
            <w:r>
              <w:rPr>
                <w:rFonts w:hint="eastAsia"/>
                <w:color w:val="FF0000"/>
              </w:rPr>
              <w:t>学生、未成年人</w:t>
            </w:r>
          </w:p>
          <w:p w:rsidR="00DC48C7" w:rsidRDefault="00D94582">
            <w:pPr>
              <w:jc w:val="center"/>
            </w:pPr>
            <w:r>
              <w:rPr>
                <w:rFonts w:hint="eastAsia"/>
              </w:rPr>
              <w:t>92</w:t>
            </w:r>
            <w:r>
              <w:t>%</w:t>
            </w:r>
          </w:p>
        </w:tc>
      </w:tr>
      <w:tr w:rsidR="00DC48C7">
        <w:trPr>
          <w:trHeight w:val="1665"/>
        </w:trPr>
        <w:tc>
          <w:tcPr>
            <w:tcW w:w="8296" w:type="dxa"/>
            <w:gridSpan w:val="5"/>
            <w:vAlign w:val="center"/>
          </w:tcPr>
          <w:p w:rsidR="00DC48C7" w:rsidRDefault="00D94582" w:rsidP="00D94582">
            <w:pPr>
              <w:ind w:firstLineChars="200" w:firstLine="480"/>
            </w:pPr>
            <w:r>
              <w:rPr>
                <w:rFonts w:ascii="宋体" w:hAnsi="宋体" w:hint="eastAsia"/>
                <w:sz w:val="24"/>
                <w:szCs w:val="24"/>
              </w:rPr>
              <w:t>参保人员入住签约家庭医生隶属的一级定点医疗机构，起付标准以上，</w:t>
            </w:r>
            <w:r>
              <w:rPr>
                <w:rFonts w:ascii="宋体" w:hAnsi="宋体"/>
                <w:sz w:val="24"/>
                <w:szCs w:val="24"/>
              </w:rPr>
              <w:t>0</w:t>
            </w:r>
            <w:r>
              <w:rPr>
                <w:rFonts w:ascii="宋体" w:hAnsi="宋体"/>
                <w:sz w:val="24"/>
                <w:szCs w:val="24"/>
              </w:rPr>
              <w:t>元至</w:t>
            </w:r>
            <w:r>
              <w:rPr>
                <w:rFonts w:ascii="宋体" w:hAnsi="宋体"/>
                <w:sz w:val="24"/>
                <w:szCs w:val="24"/>
              </w:rPr>
              <w:t>10</w:t>
            </w:r>
            <w:r>
              <w:rPr>
                <w:rFonts w:ascii="宋体" w:hAnsi="宋体"/>
                <w:sz w:val="24"/>
                <w:szCs w:val="24"/>
              </w:rPr>
              <w:t>万元（含）的部分基金支付</w:t>
            </w:r>
            <w:r>
              <w:rPr>
                <w:rFonts w:ascii="宋体" w:hAnsi="宋体"/>
                <w:sz w:val="24"/>
                <w:szCs w:val="24"/>
              </w:rPr>
              <w:t>90%</w:t>
            </w:r>
            <w:r>
              <w:rPr>
                <w:rFonts w:ascii="宋体" w:hAnsi="宋体"/>
                <w:sz w:val="24"/>
                <w:szCs w:val="24"/>
              </w:rPr>
              <w:t>；</w:t>
            </w:r>
            <w:r>
              <w:rPr>
                <w:rFonts w:ascii="宋体" w:hAnsi="宋体"/>
                <w:sz w:val="24"/>
                <w:szCs w:val="24"/>
              </w:rPr>
              <w:t>10</w:t>
            </w:r>
            <w:r>
              <w:rPr>
                <w:rFonts w:ascii="宋体" w:hAnsi="宋体"/>
                <w:sz w:val="24"/>
                <w:szCs w:val="24"/>
              </w:rPr>
              <w:t>万元至</w:t>
            </w:r>
            <w:r>
              <w:rPr>
                <w:rFonts w:ascii="宋体" w:hAnsi="宋体"/>
                <w:sz w:val="24"/>
                <w:szCs w:val="24"/>
              </w:rPr>
              <w:t>20</w:t>
            </w:r>
            <w:r>
              <w:rPr>
                <w:rFonts w:ascii="宋体" w:hAnsi="宋体"/>
                <w:sz w:val="24"/>
                <w:szCs w:val="24"/>
              </w:rPr>
              <w:t>万元（含）部分，基金</w:t>
            </w:r>
            <w:r>
              <w:rPr>
                <w:rFonts w:ascii="宋体" w:hAnsi="宋体" w:hint="eastAsia"/>
                <w:sz w:val="24"/>
                <w:szCs w:val="24"/>
              </w:rPr>
              <w:t>按</w:t>
            </w:r>
            <w:r>
              <w:rPr>
                <w:rFonts w:ascii="宋体" w:hAnsi="宋体"/>
                <w:sz w:val="24"/>
                <w:szCs w:val="24"/>
              </w:rPr>
              <w:t>成年居民（老年居民），学生、未成年人分别支付</w:t>
            </w:r>
            <w:r>
              <w:rPr>
                <w:rFonts w:ascii="宋体" w:hAnsi="宋体"/>
                <w:sz w:val="24"/>
                <w:szCs w:val="24"/>
              </w:rPr>
              <w:t>93%</w:t>
            </w:r>
            <w:r>
              <w:rPr>
                <w:rFonts w:ascii="宋体" w:hAnsi="宋体"/>
                <w:sz w:val="24"/>
                <w:szCs w:val="24"/>
              </w:rPr>
              <w:t>，</w:t>
            </w:r>
            <w:r>
              <w:rPr>
                <w:rFonts w:ascii="宋体" w:hAnsi="宋体"/>
                <w:sz w:val="24"/>
                <w:szCs w:val="24"/>
              </w:rPr>
              <w:t>98%</w:t>
            </w:r>
            <w:r>
              <w:rPr>
                <w:rFonts w:ascii="宋体" w:hAnsi="宋体"/>
                <w:sz w:val="24"/>
                <w:szCs w:val="24"/>
              </w:rPr>
              <w:t>。其中，</w:t>
            </w:r>
            <w:proofErr w:type="gramStart"/>
            <w:r>
              <w:rPr>
                <w:rFonts w:ascii="宋体" w:hAnsi="宋体"/>
                <w:sz w:val="24"/>
                <w:szCs w:val="24"/>
              </w:rPr>
              <w:t>医</w:t>
            </w:r>
            <w:proofErr w:type="gramEnd"/>
            <w:r>
              <w:rPr>
                <w:rFonts w:ascii="宋体" w:hAnsi="宋体"/>
                <w:sz w:val="24"/>
                <w:szCs w:val="24"/>
              </w:rPr>
              <w:t>联体内下转的，取消本次基层住院的起付线，且住院次数按规定累计</w:t>
            </w:r>
            <w:r>
              <w:rPr>
                <w:rFonts w:ascii="宋体" w:hAnsi="宋体" w:hint="eastAsia"/>
                <w:sz w:val="24"/>
                <w:szCs w:val="24"/>
              </w:rPr>
              <w:t>；</w:t>
            </w:r>
            <w:proofErr w:type="gramStart"/>
            <w:r>
              <w:rPr>
                <w:rFonts w:ascii="宋体" w:hAnsi="宋体"/>
                <w:sz w:val="24"/>
                <w:szCs w:val="24"/>
              </w:rPr>
              <w:t>医</w:t>
            </w:r>
            <w:proofErr w:type="gramEnd"/>
            <w:r>
              <w:rPr>
                <w:rFonts w:ascii="宋体" w:hAnsi="宋体"/>
                <w:sz w:val="24"/>
                <w:szCs w:val="24"/>
              </w:rPr>
              <w:t>联体内</w:t>
            </w:r>
            <w:r>
              <w:rPr>
                <w:rFonts w:ascii="宋体" w:hAnsi="宋体" w:hint="eastAsia"/>
                <w:sz w:val="24"/>
                <w:szCs w:val="24"/>
              </w:rPr>
              <w:t>上转</w:t>
            </w:r>
            <w:r>
              <w:rPr>
                <w:rFonts w:ascii="宋体" w:hAnsi="宋体"/>
                <w:sz w:val="24"/>
                <w:szCs w:val="24"/>
              </w:rPr>
              <w:t>的，视为同一住院治疗过程，累积计算住</w:t>
            </w:r>
            <w:bookmarkStart w:id="0" w:name="_GoBack"/>
            <w:bookmarkEnd w:id="0"/>
            <w:r>
              <w:rPr>
                <w:rFonts w:ascii="宋体" w:hAnsi="宋体"/>
                <w:sz w:val="24"/>
                <w:szCs w:val="24"/>
              </w:rPr>
              <w:t>院起付线，当次住院起付标准减半支付，住院次数按规定累计。</w:t>
            </w:r>
          </w:p>
        </w:tc>
      </w:tr>
      <w:tr w:rsidR="00DC48C7">
        <w:trPr>
          <w:trHeight w:val="1541"/>
        </w:trPr>
        <w:tc>
          <w:tcPr>
            <w:tcW w:w="8296" w:type="dxa"/>
            <w:gridSpan w:val="5"/>
            <w:vAlign w:val="center"/>
          </w:tcPr>
          <w:p w:rsidR="00DC48C7" w:rsidRDefault="00D94582">
            <w:pPr>
              <w:ind w:firstLineChars="200" w:firstLine="480"/>
              <w:rPr>
                <w:rFonts w:ascii="宋体" w:hAnsi="宋体"/>
                <w:sz w:val="24"/>
                <w:szCs w:val="24"/>
              </w:rPr>
            </w:pPr>
            <w:r>
              <w:rPr>
                <w:rFonts w:ascii="宋体" w:hAnsi="宋体" w:hint="eastAsia"/>
                <w:sz w:val="24"/>
                <w:szCs w:val="24"/>
              </w:rPr>
              <w:t>精神病长期住院治疗：发生的符合医疗保险规定的医疗费用，起付标准以上，</w:t>
            </w:r>
            <w:r>
              <w:rPr>
                <w:rFonts w:ascii="宋体" w:hAnsi="宋体"/>
                <w:sz w:val="24"/>
                <w:szCs w:val="24"/>
              </w:rPr>
              <w:t>0</w:t>
            </w:r>
            <w:r>
              <w:rPr>
                <w:rFonts w:ascii="宋体" w:hAnsi="宋体"/>
                <w:sz w:val="24"/>
                <w:szCs w:val="24"/>
              </w:rPr>
              <w:t>元至</w:t>
            </w:r>
            <w:r>
              <w:rPr>
                <w:rFonts w:ascii="宋体" w:hAnsi="宋体"/>
                <w:sz w:val="24"/>
                <w:szCs w:val="24"/>
              </w:rPr>
              <w:t>2</w:t>
            </w:r>
            <w:r>
              <w:rPr>
                <w:rFonts w:ascii="宋体" w:hAnsi="宋体"/>
                <w:sz w:val="24"/>
                <w:szCs w:val="24"/>
              </w:rPr>
              <w:t>万元（含）及</w:t>
            </w:r>
            <w:r>
              <w:rPr>
                <w:rFonts w:ascii="宋体" w:hAnsi="宋体"/>
                <w:sz w:val="24"/>
                <w:szCs w:val="24"/>
              </w:rPr>
              <w:t>2</w:t>
            </w:r>
            <w:r>
              <w:rPr>
                <w:rFonts w:ascii="宋体" w:hAnsi="宋体"/>
                <w:sz w:val="24"/>
                <w:szCs w:val="24"/>
              </w:rPr>
              <w:t>万元至</w:t>
            </w:r>
            <w:r>
              <w:rPr>
                <w:rFonts w:ascii="宋体" w:hAnsi="宋体"/>
                <w:sz w:val="24"/>
                <w:szCs w:val="24"/>
              </w:rPr>
              <w:t>10</w:t>
            </w:r>
            <w:r>
              <w:rPr>
                <w:rFonts w:ascii="宋体" w:hAnsi="宋体"/>
                <w:sz w:val="24"/>
                <w:szCs w:val="24"/>
              </w:rPr>
              <w:t>万元（含）的部分，基金按成年居民</w:t>
            </w:r>
            <w:r>
              <w:rPr>
                <w:rFonts w:ascii="宋体" w:hAnsi="宋体"/>
                <w:sz w:val="24"/>
                <w:szCs w:val="24"/>
              </w:rPr>
              <w:t>80%</w:t>
            </w:r>
            <w:r>
              <w:rPr>
                <w:rFonts w:ascii="宋体" w:hAnsi="宋体"/>
                <w:sz w:val="24"/>
                <w:szCs w:val="24"/>
              </w:rPr>
              <w:t>、老年居民</w:t>
            </w:r>
            <w:r>
              <w:rPr>
                <w:rFonts w:ascii="宋体" w:hAnsi="宋体"/>
                <w:sz w:val="24"/>
                <w:szCs w:val="24"/>
              </w:rPr>
              <w:t>85%</w:t>
            </w:r>
            <w:r>
              <w:rPr>
                <w:rFonts w:ascii="宋体" w:hAnsi="宋体"/>
                <w:sz w:val="24"/>
                <w:szCs w:val="24"/>
              </w:rPr>
              <w:t>、学生未成年人</w:t>
            </w:r>
            <w:r>
              <w:rPr>
                <w:rFonts w:ascii="宋体" w:hAnsi="宋体"/>
                <w:sz w:val="24"/>
                <w:szCs w:val="24"/>
              </w:rPr>
              <w:t>90%</w:t>
            </w:r>
            <w:r>
              <w:rPr>
                <w:rFonts w:ascii="宋体" w:hAnsi="宋体"/>
                <w:sz w:val="24"/>
                <w:szCs w:val="24"/>
              </w:rPr>
              <w:t>的比例支付；</w:t>
            </w:r>
            <w:r>
              <w:rPr>
                <w:rFonts w:ascii="宋体" w:hAnsi="宋体"/>
                <w:sz w:val="24"/>
                <w:szCs w:val="24"/>
              </w:rPr>
              <w:t>10</w:t>
            </w:r>
            <w:r>
              <w:rPr>
                <w:rFonts w:ascii="宋体" w:hAnsi="宋体"/>
                <w:sz w:val="24"/>
                <w:szCs w:val="24"/>
              </w:rPr>
              <w:t>万元至</w:t>
            </w:r>
            <w:r>
              <w:rPr>
                <w:rFonts w:ascii="宋体" w:hAnsi="宋体"/>
                <w:sz w:val="24"/>
                <w:szCs w:val="24"/>
              </w:rPr>
              <w:t>20</w:t>
            </w:r>
            <w:r>
              <w:rPr>
                <w:rFonts w:ascii="宋体" w:hAnsi="宋体"/>
                <w:sz w:val="24"/>
                <w:szCs w:val="24"/>
              </w:rPr>
              <w:t>万元（含）的部分，基金按成年居民</w:t>
            </w:r>
            <w:r>
              <w:rPr>
                <w:rFonts w:ascii="宋体" w:hAnsi="宋体"/>
                <w:sz w:val="24"/>
                <w:szCs w:val="24"/>
              </w:rPr>
              <w:t>85%</w:t>
            </w:r>
            <w:r>
              <w:rPr>
                <w:rFonts w:ascii="宋体" w:hAnsi="宋体"/>
                <w:sz w:val="24"/>
                <w:szCs w:val="24"/>
              </w:rPr>
              <w:t>、老年居民</w:t>
            </w:r>
            <w:r>
              <w:rPr>
                <w:rFonts w:ascii="宋体" w:hAnsi="宋体"/>
                <w:sz w:val="24"/>
                <w:szCs w:val="24"/>
              </w:rPr>
              <w:t>90%</w:t>
            </w:r>
            <w:r>
              <w:rPr>
                <w:rFonts w:ascii="宋体" w:hAnsi="宋体"/>
                <w:sz w:val="24"/>
                <w:szCs w:val="24"/>
              </w:rPr>
              <w:t>、学生未成年人</w:t>
            </w:r>
            <w:r>
              <w:rPr>
                <w:rFonts w:ascii="宋体" w:hAnsi="宋体"/>
                <w:sz w:val="24"/>
                <w:szCs w:val="24"/>
              </w:rPr>
              <w:t>95%</w:t>
            </w:r>
            <w:r>
              <w:rPr>
                <w:rFonts w:ascii="宋体" w:hAnsi="宋体"/>
                <w:sz w:val="24"/>
                <w:szCs w:val="24"/>
              </w:rPr>
              <w:t>的比例支付。</w:t>
            </w:r>
          </w:p>
        </w:tc>
      </w:tr>
      <w:tr w:rsidR="00DC48C7">
        <w:trPr>
          <w:trHeight w:val="3837"/>
        </w:trPr>
        <w:tc>
          <w:tcPr>
            <w:tcW w:w="8296" w:type="dxa"/>
            <w:gridSpan w:val="5"/>
            <w:vAlign w:val="center"/>
          </w:tcPr>
          <w:p w:rsidR="00DC48C7" w:rsidRDefault="00D94582">
            <w:pPr>
              <w:ind w:firstLineChars="200" w:firstLine="480"/>
              <w:rPr>
                <w:rFonts w:ascii="宋体" w:hAnsi="宋体"/>
                <w:sz w:val="24"/>
                <w:szCs w:val="24"/>
              </w:rPr>
            </w:pPr>
            <w:r>
              <w:rPr>
                <w:rFonts w:ascii="宋体" w:hAnsi="宋体"/>
                <w:sz w:val="24"/>
                <w:szCs w:val="24"/>
              </w:rPr>
              <w:lastRenderedPageBreak/>
              <w:t>1</w:t>
            </w:r>
            <w:r>
              <w:rPr>
                <w:rFonts w:ascii="宋体" w:hAnsi="宋体"/>
                <w:sz w:val="24"/>
                <w:szCs w:val="24"/>
              </w:rPr>
              <w:t>．一年内多次住院的，从第二次起，按本次入住就诊医疗机构起付标准的</w:t>
            </w:r>
            <w:r>
              <w:rPr>
                <w:rFonts w:ascii="宋体" w:hAnsi="宋体"/>
                <w:sz w:val="24"/>
                <w:szCs w:val="24"/>
              </w:rPr>
              <w:t>20%</w:t>
            </w:r>
            <w:r>
              <w:rPr>
                <w:rFonts w:ascii="宋体" w:hAnsi="宋体"/>
                <w:sz w:val="24"/>
                <w:szCs w:val="24"/>
              </w:rPr>
              <w:t>，依次递减分别计算，最低不低于</w:t>
            </w:r>
            <w:r>
              <w:rPr>
                <w:rFonts w:ascii="宋体" w:hAnsi="宋体"/>
                <w:sz w:val="24"/>
                <w:szCs w:val="24"/>
              </w:rPr>
              <w:t>200</w:t>
            </w:r>
            <w:r>
              <w:rPr>
                <w:rFonts w:ascii="宋体" w:hAnsi="宋体"/>
                <w:sz w:val="24"/>
                <w:szCs w:val="24"/>
              </w:rPr>
              <w:t>元，长期连续住院的，起付标准每</w:t>
            </w:r>
            <w:r>
              <w:rPr>
                <w:rFonts w:ascii="宋体" w:hAnsi="宋体"/>
                <w:sz w:val="24"/>
                <w:szCs w:val="24"/>
              </w:rPr>
              <w:t>90</w:t>
            </w:r>
            <w:r>
              <w:rPr>
                <w:rFonts w:ascii="宋体" w:hAnsi="宋体"/>
                <w:sz w:val="24"/>
                <w:szCs w:val="24"/>
              </w:rPr>
              <w:t>天计算一次。</w:t>
            </w:r>
          </w:p>
          <w:p w:rsidR="00DC48C7" w:rsidRDefault="00D94582">
            <w:pPr>
              <w:ind w:firstLineChars="200" w:firstLine="480"/>
              <w:rPr>
                <w:rFonts w:ascii="宋体" w:hAnsi="宋体"/>
                <w:sz w:val="24"/>
                <w:szCs w:val="24"/>
              </w:rPr>
            </w:pPr>
            <w:r>
              <w:rPr>
                <w:rFonts w:ascii="宋体" w:hAnsi="宋体"/>
                <w:sz w:val="24"/>
                <w:szCs w:val="24"/>
              </w:rPr>
              <w:t>2</w:t>
            </w:r>
            <w:r>
              <w:rPr>
                <w:rFonts w:ascii="宋体" w:hAnsi="宋体"/>
                <w:sz w:val="24"/>
                <w:szCs w:val="24"/>
              </w:rPr>
              <w:t>．参保居民因精神病长期住院治疗的，一个结算年度支付一个住院起付标准，其余按基本医疗保险住院待遇规定支付。</w:t>
            </w:r>
          </w:p>
          <w:p w:rsidR="00DC48C7" w:rsidRDefault="00D94582">
            <w:pPr>
              <w:ind w:firstLineChars="200" w:firstLine="480"/>
            </w:pPr>
            <w:r>
              <w:rPr>
                <w:rFonts w:ascii="宋体" w:hAnsi="宋体"/>
                <w:sz w:val="24"/>
                <w:szCs w:val="24"/>
              </w:rPr>
              <w:t>3</w:t>
            </w:r>
            <w:r>
              <w:rPr>
                <w:rFonts w:ascii="宋体" w:hAnsi="宋体"/>
                <w:sz w:val="24"/>
                <w:szCs w:val="24"/>
              </w:rPr>
              <w:t>．居民基本医疗保险的药品目录、诊疗项目和医疗服务设施范围及支付标准</w:t>
            </w:r>
            <w:r>
              <w:rPr>
                <w:rFonts w:ascii="宋体" w:hAnsi="宋体" w:hint="eastAsia"/>
                <w:sz w:val="24"/>
                <w:szCs w:val="24"/>
              </w:rPr>
              <w:t>，</w:t>
            </w:r>
            <w:r>
              <w:rPr>
                <w:rFonts w:ascii="宋体" w:hAnsi="宋体"/>
                <w:sz w:val="24"/>
                <w:szCs w:val="24"/>
              </w:rPr>
              <w:t>按《江苏省基本医疗保险、工伤保险和生育保险药品目录》及《南通市基本医疗保险诊疗项目、医疗服务设施范围及支付标准》有关规定，在支付乙类药品、诊疗服务项目的个人先负担费用后，再按医疗保险有关政策规定享受相应待遇。</w:t>
            </w:r>
          </w:p>
        </w:tc>
      </w:tr>
    </w:tbl>
    <w:p w:rsidR="00DC48C7" w:rsidRDefault="00DC48C7">
      <w:pPr>
        <w:ind w:firstLineChars="200" w:firstLine="480"/>
        <w:rPr>
          <w:rFonts w:ascii="宋体" w:hAnsi="宋体"/>
          <w:sz w:val="24"/>
          <w:szCs w:val="24"/>
        </w:rPr>
      </w:pPr>
    </w:p>
    <w:p w:rsidR="00DC48C7" w:rsidRDefault="00D94582">
      <w:pPr>
        <w:ind w:firstLineChars="200" w:firstLine="482"/>
        <w:rPr>
          <w:rFonts w:ascii="宋体" w:hAnsi="宋体"/>
          <w:b/>
          <w:sz w:val="24"/>
          <w:szCs w:val="24"/>
        </w:rPr>
      </w:pPr>
      <w:r>
        <w:rPr>
          <w:rFonts w:ascii="宋体" w:hAnsi="宋体"/>
          <w:b/>
          <w:sz w:val="24"/>
          <w:szCs w:val="24"/>
        </w:rPr>
        <w:t>3</w:t>
      </w:r>
      <w:r>
        <w:rPr>
          <w:rFonts w:ascii="宋体" w:hAnsi="宋体"/>
          <w:b/>
          <w:sz w:val="24"/>
          <w:szCs w:val="24"/>
        </w:rPr>
        <w:t>．大病保险待遇</w:t>
      </w:r>
    </w:p>
    <w:p w:rsidR="00DC48C7" w:rsidRDefault="00D94582">
      <w:pPr>
        <w:ind w:firstLineChars="200" w:firstLine="480"/>
        <w:rPr>
          <w:rFonts w:ascii="宋体" w:hAnsi="宋体"/>
          <w:sz w:val="24"/>
          <w:szCs w:val="24"/>
        </w:rPr>
      </w:pPr>
      <w:r>
        <w:rPr>
          <w:rFonts w:ascii="宋体" w:hAnsi="宋体" w:hint="eastAsia"/>
          <w:sz w:val="24"/>
          <w:szCs w:val="24"/>
        </w:rPr>
        <w:t>一个结算年度内</w:t>
      </w:r>
      <w:r>
        <w:rPr>
          <w:rFonts w:ascii="宋体" w:hAnsi="宋体"/>
          <w:sz w:val="24"/>
          <w:szCs w:val="24"/>
        </w:rPr>
        <w:t>，参保居民在规定的定点医疗机构享受基本医疗保险待遇后，符合基本医疗保险政策范围内的医疗费</w:t>
      </w:r>
      <w:r>
        <w:rPr>
          <w:rFonts w:ascii="宋体" w:hAnsi="宋体"/>
          <w:sz w:val="24"/>
          <w:szCs w:val="24"/>
        </w:rPr>
        <w:t>用中，个人负担超过大病保险起付标准</w:t>
      </w:r>
      <w:r>
        <w:rPr>
          <w:rFonts w:ascii="宋体" w:hAnsi="宋体"/>
          <w:sz w:val="24"/>
          <w:szCs w:val="24"/>
        </w:rPr>
        <w:t>1</w:t>
      </w:r>
      <w:r>
        <w:rPr>
          <w:rFonts w:ascii="宋体" w:hAnsi="宋体"/>
          <w:sz w:val="24"/>
          <w:szCs w:val="24"/>
        </w:rPr>
        <w:t>万元以上的部分，大病保险按以下标准分段按比例累加补偿。</w:t>
      </w:r>
    </w:p>
    <w:tbl>
      <w:tblPr>
        <w:tblW w:w="80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8"/>
        <w:gridCol w:w="4148"/>
      </w:tblGrid>
      <w:tr w:rsidR="00DC48C7">
        <w:tc>
          <w:tcPr>
            <w:tcW w:w="3898" w:type="dxa"/>
            <w:vAlign w:val="center"/>
          </w:tcPr>
          <w:p w:rsidR="00DC48C7" w:rsidRDefault="00D94582">
            <w:pPr>
              <w:jc w:val="center"/>
            </w:pPr>
            <w:r>
              <w:rPr>
                <w:rFonts w:hint="eastAsia"/>
              </w:rPr>
              <w:t>费用段（元）</w:t>
            </w:r>
          </w:p>
        </w:tc>
        <w:tc>
          <w:tcPr>
            <w:tcW w:w="4148" w:type="dxa"/>
            <w:vAlign w:val="center"/>
          </w:tcPr>
          <w:p w:rsidR="00DC48C7" w:rsidRDefault="00D94582">
            <w:pPr>
              <w:jc w:val="center"/>
            </w:pPr>
            <w:r>
              <w:rPr>
                <w:rFonts w:hint="eastAsia"/>
              </w:rPr>
              <w:t>报支比例（起付标准以上）</w:t>
            </w:r>
          </w:p>
        </w:tc>
      </w:tr>
      <w:tr w:rsidR="00DC48C7">
        <w:tc>
          <w:tcPr>
            <w:tcW w:w="3898" w:type="dxa"/>
            <w:vAlign w:val="center"/>
          </w:tcPr>
          <w:p w:rsidR="00DC48C7" w:rsidRDefault="00D94582">
            <w:pPr>
              <w:jc w:val="center"/>
            </w:pPr>
            <w:r>
              <w:rPr>
                <w:rFonts w:hint="eastAsia"/>
              </w:rPr>
              <w:t>0</w:t>
            </w:r>
            <w:r>
              <w:rPr>
                <w:rFonts w:hint="eastAsia"/>
              </w:rPr>
              <w:t>—</w:t>
            </w:r>
            <w:r>
              <w:rPr>
                <w:rFonts w:hint="eastAsia"/>
              </w:rPr>
              <w:t>1</w:t>
            </w:r>
            <w:r>
              <w:t>00000</w:t>
            </w:r>
            <w:r>
              <w:rPr>
                <w:rFonts w:hint="eastAsia"/>
              </w:rPr>
              <w:t>（含）</w:t>
            </w:r>
          </w:p>
        </w:tc>
        <w:tc>
          <w:tcPr>
            <w:tcW w:w="4148" w:type="dxa"/>
            <w:vAlign w:val="center"/>
          </w:tcPr>
          <w:p w:rsidR="00DC48C7" w:rsidRDefault="00D94582">
            <w:pPr>
              <w:jc w:val="center"/>
            </w:pPr>
            <w:r>
              <w:rPr>
                <w:rFonts w:hint="eastAsia"/>
              </w:rPr>
              <w:t>6</w:t>
            </w:r>
            <w:r>
              <w:t>0%</w:t>
            </w:r>
          </w:p>
        </w:tc>
      </w:tr>
      <w:tr w:rsidR="00DC48C7">
        <w:tc>
          <w:tcPr>
            <w:tcW w:w="3898" w:type="dxa"/>
            <w:vAlign w:val="center"/>
          </w:tcPr>
          <w:p w:rsidR="00DC48C7" w:rsidRDefault="00D94582">
            <w:pPr>
              <w:jc w:val="center"/>
            </w:pPr>
            <w:r>
              <w:rPr>
                <w:rFonts w:hint="eastAsia"/>
              </w:rPr>
              <w:t>1</w:t>
            </w:r>
            <w:r>
              <w:t>00000</w:t>
            </w:r>
            <w:r>
              <w:rPr>
                <w:rFonts w:hint="eastAsia"/>
              </w:rPr>
              <w:t>—</w:t>
            </w:r>
            <w:r>
              <w:rPr>
                <w:rFonts w:hint="eastAsia"/>
              </w:rPr>
              <w:t>2</w:t>
            </w:r>
            <w:r>
              <w:t>00000</w:t>
            </w:r>
            <w:r>
              <w:rPr>
                <w:rFonts w:hint="eastAsia"/>
              </w:rPr>
              <w:t>（含）</w:t>
            </w:r>
          </w:p>
        </w:tc>
        <w:tc>
          <w:tcPr>
            <w:tcW w:w="4148" w:type="dxa"/>
            <w:vAlign w:val="center"/>
          </w:tcPr>
          <w:p w:rsidR="00DC48C7" w:rsidRDefault="00D94582">
            <w:pPr>
              <w:jc w:val="center"/>
            </w:pPr>
            <w:r>
              <w:rPr>
                <w:rFonts w:hint="eastAsia"/>
              </w:rPr>
              <w:t>8</w:t>
            </w:r>
            <w:r>
              <w:t>0%</w:t>
            </w:r>
          </w:p>
        </w:tc>
      </w:tr>
      <w:tr w:rsidR="00DC48C7">
        <w:tc>
          <w:tcPr>
            <w:tcW w:w="3898" w:type="dxa"/>
            <w:vAlign w:val="center"/>
          </w:tcPr>
          <w:p w:rsidR="00DC48C7" w:rsidRDefault="00D94582">
            <w:pPr>
              <w:jc w:val="center"/>
            </w:pPr>
            <w:r>
              <w:rPr>
                <w:rFonts w:hint="eastAsia"/>
              </w:rPr>
              <w:t>2</w:t>
            </w:r>
            <w:r>
              <w:t>00000</w:t>
            </w:r>
            <w:r>
              <w:rPr>
                <w:rFonts w:hint="eastAsia"/>
              </w:rPr>
              <w:t>以上</w:t>
            </w:r>
          </w:p>
        </w:tc>
        <w:tc>
          <w:tcPr>
            <w:tcW w:w="4148" w:type="dxa"/>
            <w:vAlign w:val="center"/>
          </w:tcPr>
          <w:p w:rsidR="00DC48C7" w:rsidRDefault="00D94582">
            <w:pPr>
              <w:jc w:val="center"/>
            </w:pPr>
            <w:r>
              <w:rPr>
                <w:rFonts w:hint="eastAsia"/>
              </w:rPr>
              <w:t>9</w:t>
            </w:r>
            <w:r>
              <w:t>0%</w:t>
            </w:r>
          </w:p>
        </w:tc>
      </w:tr>
    </w:tbl>
    <w:p w:rsidR="00DC48C7" w:rsidRDefault="00DC48C7">
      <w:pPr>
        <w:widowControl/>
        <w:jc w:val="left"/>
        <w:rPr>
          <w:rFonts w:ascii="宋体" w:hAnsi="宋体"/>
          <w:sz w:val="24"/>
          <w:szCs w:val="24"/>
        </w:rPr>
      </w:pPr>
    </w:p>
    <w:p w:rsidR="00DC48C7" w:rsidRDefault="00D94582">
      <w:pPr>
        <w:ind w:firstLineChars="200" w:firstLine="482"/>
        <w:rPr>
          <w:rFonts w:ascii="宋体" w:hAnsi="宋体"/>
          <w:b/>
          <w:sz w:val="24"/>
          <w:szCs w:val="24"/>
        </w:rPr>
      </w:pPr>
      <w:r>
        <w:rPr>
          <w:rFonts w:ascii="宋体" w:hAnsi="宋体" w:hint="eastAsia"/>
          <w:b/>
          <w:sz w:val="24"/>
          <w:szCs w:val="24"/>
        </w:rPr>
        <w:t>4</w:t>
      </w:r>
      <w:r>
        <w:rPr>
          <w:rFonts w:ascii="宋体" w:hAnsi="宋体" w:hint="eastAsia"/>
          <w:b/>
          <w:sz w:val="24"/>
          <w:szCs w:val="24"/>
        </w:rPr>
        <w:t>、特药待遇</w:t>
      </w:r>
    </w:p>
    <w:p w:rsidR="00DC48C7" w:rsidRDefault="00D94582">
      <w:pPr>
        <w:ind w:firstLineChars="100" w:firstLine="240"/>
        <w:rPr>
          <w:rFonts w:ascii="宋体" w:hAnsi="宋体"/>
          <w:sz w:val="24"/>
          <w:szCs w:val="24"/>
        </w:rPr>
      </w:pPr>
      <w:r>
        <w:rPr>
          <w:rFonts w:ascii="宋体" w:hAnsi="宋体" w:hint="eastAsia"/>
          <w:sz w:val="24"/>
          <w:szCs w:val="24"/>
        </w:rPr>
        <w:t>一个医疗年度（治疗周期）内，参保人员在定点医疗机构和定点零售药店使用特药（国家谈判药“双通道”管理及单独支付药品），发生的符合规定的费用，不设起付线，由居民</w:t>
      </w:r>
      <w:proofErr w:type="gramStart"/>
      <w:r>
        <w:rPr>
          <w:rFonts w:ascii="宋体" w:hAnsi="宋体" w:hint="eastAsia"/>
          <w:sz w:val="24"/>
          <w:szCs w:val="24"/>
        </w:rPr>
        <w:t>医</w:t>
      </w:r>
      <w:proofErr w:type="gramEnd"/>
      <w:r>
        <w:rPr>
          <w:rFonts w:ascii="宋体" w:hAnsi="宋体" w:hint="eastAsia"/>
          <w:sz w:val="24"/>
          <w:szCs w:val="24"/>
        </w:rPr>
        <w:t>保基金报支</w:t>
      </w:r>
      <w:r>
        <w:rPr>
          <w:rFonts w:ascii="宋体" w:hAnsi="宋体" w:hint="eastAsia"/>
          <w:sz w:val="24"/>
          <w:szCs w:val="24"/>
        </w:rPr>
        <w:t>70%</w:t>
      </w:r>
      <w:r>
        <w:rPr>
          <w:rFonts w:ascii="宋体" w:hAnsi="宋体" w:hint="eastAsia"/>
          <w:sz w:val="24"/>
          <w:szCs w:val="24"/>
        </w:rPr>
        <w:t>。</w:t>
      </w:r>
    </w:p>
    <w:p w:rsidR="00DC48C7" w:rsidRDefault="00DC48C7"/>
    <w:sectPr w:rsidR="00DC48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C498C"/>
    <w:rsid w:val="00D94582"/>
    <w:rsid w:val="00DC48C7"/>
    <w:rsid w:val="6E5C4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326</Words>
  <Characters>1862</Characters>
  <Application>Microsoft Office Word</Application>
  <DocSecurity>0</DocSecurity>
  <Lines>15</Lines>
  <Paragraphs>4</Paragraphs>
  <ScaleCrop>false</ScaleCrop>
  <Company>china</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顾美丽</cp:lastModifiedBy>
  <cp:revision>2</cp:revision>
  <dcterms:created xsi:type="dcterms:W3CDTF">2021-10-22T06:27:00Z</dcterms:created>
  <dcterms:modified xsi:type="dcterms:W3CDTF">2021-10-22T06:52:00Z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8742AD31F3D1416C85510F7A42368DDA</vt:lpwstr>
  </property>
</Properties>
</file>